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D0" w:rsidRPr="00EA7E43" w:rsidRDefault="008E2118" w:rsidP="0015744A">
      <w:pPr>
        <w:tabs>
          <w:tab w:val="left" w:pos="4111"/>
        </w:tabs>
        <w:ind w:left="3969" w:right="-1"/>
        <w:jc w:val="center"/>
        <w:rPr>
          <w:sz w:val="28"/>
        </w:rPr>
      </w:pPr>
      <w:r w:rsidRPr="00EA7E43">
        <w:rPr>
          <w:sz w:val="28"/>
        </w:rPr>
        <w:t xml:space="preserve">ПРИЛОЖЕНИЕ </w:t>
      </w:r>
      <w:r w:rsidR="00F454A1" w:rsidRPr="00EA7E43">
        <w:rPr>
          <w:sz w:val="28"/>
        </w:rPr>
        <w:t>4</w:t>
      </w:r>
    </w:p>
    <w:p w:rsidR="00E17AD0" w:rsidRPr="00EA7E43" w:rsidRDefault="00EA7E43" w:rsidP="0015744A">
      <w:pPr>
        <w:tabs>
          <w:tab w:val="left" w:pos="4111"/>
        </w:tabs>
        <w:ind w:left="3969" w:right="-1"/>
        <w:jc w:val="center"/>
        <w:rPr>
          <w:sz w:val="28"/>
        </w:rPr>
      </w:pPr>
      <w:r>
        <w:rPr>
          <w:sz w:val="28"/>
        </w:rPr>
        <w:t>к муниципальной п</w:t>
      </w:r>
      <w:r w:rsidR="00E17AD0" w:rsidRPr="00EA7E43">
        <w:rPr>
          <w:sz w:val="28"/>
        </w:rPr>
        <w:t>рограмме</w:t>
      </w:r>
    </w:p>
    <w:p w:rsidR="00E17AD0" w:rsidRPr="00EA7E43" w:rsidRDefault="00E17AD0" w:rsidP="0015744A">
      <w:pPr>
        <w:tabs>
          <w:tab w:val="left" w:pos="4111"/>
        </w:tabs>
        <w:ind w:left="3969" w:right="-1"/>
        <w:jc w:val="center"/>
        <w:rPr>
          <w:sz w:val="28"/>
        </w:rPr>
      </w:pPr>
      <w:r w:rsidRPr="00EA7E43">
        <w:rPr>
          <w:sz w:val="28"/>
        </w:rPr>
        <w:t>«Обеспечение качественными услугами</w:t>
      </w:r>
    </w:p>
    <w:p w:rsidR="00E17AD0" w:rsidRPr="00EA7E43" w:rsidRDefault="00E17AD0" w:rsidP="0015744A">
      <w:pPr>
        <w:tabs>
          <w:tab w:val="left" w:pos="4111"/>
        </w:tabs>
        <w:ind w:left="3969" w:right="-1"/>
        <w:jc w:val="center"/>
        <w:rPr>
          <w:sz w:val="28"/>
        </w:rPr>
      </w:pPr>
      <w:r w:rsidRPr="00EA7E43">
        <w:rPr>
          <w:sz w:val="28"/>
        </w:rPr>
        <w:t>жилищно-коммунального хозяйства населения, дорожной деятельности и транспорта</w:t>
      </w:r>
    </w:p>
    <w:p w:rsidR="00E17AD0" w:rsidRPr="00EA7E43" w:rsidRDefault="00E17AD0" w:rsidP="0015744A">
      <w:pPr>
        <w:tabs>
          <w:tab w:val="left" w:pos="4111"/>
        </w:tabs>
        <w:ind w:left="3969" w:right="-1"/>
        <w:jc w:val="center"/>
        <w:rPr>
          <w:sz w:val="28"/>
        </w:rPr>
      </w:pPr>
      <w:r w:rsidRPr="00EA7E43">
        <w:rPr>
          <w:sz w:val="28"/>
        </w:rPr>
        <w:t>Златоустовского городского округа»</w:t>
      </w:r>
    </w:p>
    <w:p w:rsidR="002648E5" w:rsidRPr="006F5B79" w:rsidRDefault="00B264B4" w:rsidP="00096F91">
      <w:pPr>
        <w:tabs>
          <w:tab w:val="left" w:pos="4962"/>
        </w:tabs>
        <w:ind w:right="-424" w:firstLine="4395"/>
        <w:jc w:val="right"/>
        <w:rPr>
          <w:sz w:val="28"/>
          <w:szCs w:val="28"/>
        </w:rPr>
      </w:pPr>
      <w:r w:rsidRPr="006F5B79">
        <w:rPr>
          <w:sz w:val="28"/>
          <w:szCs w:val="28"/>
        </w:rPr>
        <w:t xml:space="preserve">    </w:t>
      </w:r>
      <w:r w:rsidR="00875615" w:rsidRPr="006F5B79">
        <w:rPr>
          <w:sz w:val="28"/>
          <w:szCs w:val="28"/>
        </w:rPr>
        <w:t xml:space="preserve">                              </w:t>
      </w:r>
      <w:r w:rsidRPr="006F5B79">
        <w:rPr>
          <w:sz w:val="28"/>
          <w:szCs w:val="28"/>
        </w:rPr>
        <w:t xml:space="preserve"> </w:t>
      </w:r>
    </w:p>
    <w:p w:rsidR="00164EDB" w:rsidRPr="006F5B79" w:rsidRDefault="00164EDB" w:rsidP="00B264B4">
      <w:pPr>
        <w:pStyle w:val="ConsPlusTitle"/>
        <w:widowControl/>
        <w:ind w:left="4962" w:firstLine="4395"/>
        <w:jc w:val="center"/>
        <w:rPr>
          <w:b w:val="0"/>
          <w:sz w:val="28"/>
          <w:szCs w:val="28"/>
        </w:rPr>
      </w:pPr>
    </w:p>
    <w:p w:rsidR="001324BD" w:rsidRPr="006F5B79" w:rsidRDefault="001324BD" w:rsidP="00B264B4">
      <w:pPr>
        <w:tabs>
          <w:tab w:val="left" w:pos="4962"/>
        </w:tabs>
        <w:ind w:firstLine="4962"/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8E2118" w:rsidRPr="00EA7E43" w:rsidRDefault="00EA7E43" w:rsidP="00EA7E43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 w:rsidRPr="00EA7E43">
        <w:rPr>
          <w:rFonts w:ascii="Times New Roman" w:hAnsi="Times New Roman"/>
          <w:color w:val="auto"/>
          <w:kern w:val="28"/>
          <w:szCs w:val="24"/>
          <w:lang w:val="ru-RU"/>
        </w:rPr>
        <w:t>П</w:t>
      </w:r>
      <w:proofErr w:type="spellStart"/>
      <w:r w:rsidRPr="00EA7E43">
        <w:rPr>
          <w:rFonts w:ascii="Times New Roman" w:hAnsi="Times New Roman"/>
          <w:color w:val="auto"/>
          <w:kern w:val="28"/>
          <w:szCs w:val="24"/>
        </w:rPr>
        <w:t>одпрограмма</w:t>
      </w:r>
      <w:proofErr w:type="spellEnd"/>
    </w:p>
    <w:p w:rsidR="00FA558F" w:rsidRPr="00EA7E43" w:rsidRDefault="00EA7E43" w:rsidP="001324BD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>
        <w:rPr>
          <w:rFonts w:ascii="Times New Roman" w:hAnsi="Times New Roman"/>
          <w:color w:val="auto"/>
          <w:kern w:val="28"/>
          <w:szCs w:val="24"/>
        </w:rPr>
        <w:t>«</w:t>
      </w:r>
      <w:r>
        <w:rPr>
          <w:rFonts w:ascii="Times New Roman" w:hAnsi="Times New Roman"/>
          <w:color w:val="auto"/>
          <w:kern w:val="28"/>
          <w:szCs w:val="24"/>
          <w:lang w:val="ru-RU"/>
        </w:rPr>
        <w:t>О</w:t>
      </w:r>
      <w:proofErr w:type="spellStart"/>
      <w:r w:rsidRPr="00EA7E43">
        <w:rPr>
          <w:rFonts w:ascii="Times New Roman" w:hAnsi="Times New Roman"/>
          <w:color w:val="auto"/>
          <w:kern w:val="28"/>
          <w:szCs w:val="24"/>
        </w:rPr>
        <w:t>рганизация</w:t>
      </w:r>
      <w:proofErr w:type="spellEnd"/>
      <w:r w:rsidRPr="00EA7E43">
        <w:rPr>
          <w:rFonts w:ascii="Times New Roman" w:hAnsi="Times New Roman"/>
          <w:color w:val="auto"/>
          <w:kern w:val="28"/>
          <w:szCs w:val="24"/>
        </w:rPr>
        <w:t xml:space="preserve"> дорожной деятельности </w:t>
      </w:r>
    </w:p>
    <w:p w:rsidR="00FA558F" w:rsidRPr="00EA7E43" w:rsidRDefault="00EA7E43" w:rsidP="001324BD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 w:rsidRPr="00EA7E43">
        <w:rPr>
          <w:rFonts w:ascii="Times New Roman" w:hAnsi="Times New Roman"/>
          <w:color w:val="auto"/>
          <w:kern w:val="28"/>
          <w:szCs w:val="24"/>
        </w:rPr>
        <w:t xml:space="preserve">и повышение безопасности дорожного движения </w:t>
      </w:r>
    </w:p>
    <w:p w:rsidR="001324BD" w:rsidRPr="00EA7E43" w:rsidRDefault="00EA7E43" w:rsidP="001324BD">
      <w:pPr>
        <w:pStyle w:val="aa"/>
        <w:jc w:val="center"/>
        <w:rPr>
          <w:rFonts w:ascii="Times New Roman" w:hAnsi="Times New Roman"/>
          <w:caps/>
          <w:color w:val="auto"/>
          <w:kern w:val="28"/>
          <w:szCs w:val="24"/>
        </w:rPr>
      </w:pPr>
      <w:r>
        <w:rPr>
          <w:rFonts w:ascii="Times New Roman" w:hAnsi="Times New Roman"/>
          <w:color w:val="auto"/>
          <w:kern w:val="28"/>
          <w:szCs w:val="24"/>
        </w:rPr>
        <w:t xml:space="preserve">в </w:t>
      </w:r>
      <w:r>
        <w:rPr>
          <w:rFonts w:ascii="Times New Roman" w:hAnsi="Times New Roman"/>
          <w:color w:val="auto"/>
          <w:kern w:val="28"/>
          <w:szCs w:val="24"/>
          <w:lang w:val="ru-RU"/>
        </w:rPr>
        <w:t>З</w:t>
      </w:r>
      <w:proofErr w:type="spellStart"/>
      <w:r w:rsidRPr="00EA7E43">
        <w:rPr>
          <w:rFonts w:ascii="Times New Roman" w:hAnsi="Times New Roman"/>
          <w:color w:val="auto"/>
          <w:kern w:val="28"/>
          <w:szCs w:val="24"/>
        </w:rPr>
        <w:t>латоустовском</w:t>
      </w:r>
      <w:proofErr w:type="spellEnd"/>
      <w:r w:rsidRPr="00EA7E43">
        <w:rPr>
          <w:rFonts w:ascii="Times New Roman" w:hAnsi="Times New Roman"/>
          <w:color w:val="auto"/>
          <w:kern w:val="28"/>
          <w:szCs w:val="24"/>
        </w:rPr>
        <w:t xml:space="preserve"> городском округе»</w:t>
      </w: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3D2BDC" w:rsidRPr="006F5B79" w:rsidRDefault="003D2BDC" w:rsidP="001324BD">
      <w:pPr>
        <w:jc w:val="center"/>
        <w:rPr>
          <w:b/>
          <w:sz w:val="28"/>
          <w:szCs w:val="28"/>
        </w:rPr>
      </w:pPr>
    </w:p>
    <w:p w:rsidR="001324BD" w:rsidRPr="006F5B79" w:rsidRDefault="001324BD" w:rsidP="001324BD">
      <w:pPr>
        <w:jc w:val="center"/>
        <w:rPr>
          <w:b/>
          <w:sz w:val="28"/>
          <w:szCs w:val="28"/>
        </w:rPr>
      </w:pPr>
    </w:p>
    <w:p w:rsidR="00164EDB" w:rsidRDefault="00EA7E43" w:rsidP="00CA11C6">
      <w:pPr>
        <w:jc w:val="center"/>
        <w:rPr>
          <w:sz w:val="28"/>
        </w:rPr>
      </w:pPr>
      <w:r>
        <w:br w:type="page"/>
      </w:r>
      <w:r w:rsidR="000B4456" w:rsidRPr="00EA7E43">
        <w:rPr>
          <w:sz w:val="28"/>
        </w:rPr>
        <w:lastRenderedPageBreak/>
        <w:t xml:space="preserve"> </w:t>
      </w:r>
      <w:r w:rsidR="00164EDB" w:rsidRPr="00EA7E43">
        <w:rPr>
          <w:sz w:val="28"/>
        </w:rPr>
        <w:t>Раздел</w:t>
      </w:r>
      <w:r w:rsidR="00052284" w:rsidRPr="00EA7E43">
        <w:rPr>
          <w:sz w:val="28"/>
        </w:rPr>
        <w:t xml:space="preserve"> </w:t>
      </w:r>
      <w:r w:rsidR="00052284" w:rsidRPr="00EA7E43">
        <w:rPr>
          <w:sz w:val="28"/>
          <w:lang w:val="en-US"/>
        </w:rPr>
        <w:t>I</w:t>
      </w:r>
      <w:r w:rsidR="00052284" w:rsidRPr="00EA7E43">
        <w:rPr>
          <w:sz w:val="28"/>
        </w:rPr>
        <w:t>.</w:t>
      </w:r>
      <w:r w:rsidR="00164EDB" w:rsidRPr="00EA7E43">
        <w:rPr>
          <w:sz w:val="28"/>
        </w:rPr>
        <w:t xml:space="preserve">  Паспорт </w:t>
      </w:r>
      <w:r w:rsidR="00CA11C6" w:rsidRPr="00EA7E43">
        <w:rPr>
          <w:sz w:val="28"/>
        </w:rPr>
        <w:t>Под</w:t>
      </w:r>
      <w:r w:rsidR="00164EDB" w:rsidRPr="00EA7E43">
        <w:rPr>
          <w:sz w:val="28"/>
        </w:rPr>
        <w:t xml:space="preserve">программы </w:t>
      </w:r>
    </w:p>
    <w:p w:rsidR="00EA7E43" w:rsidRPr="006F5B79" w:rsidRDefault="00EA7E43" w:rsidP="00CA11C6">
      <w:pPr>
        <w:jc w:val="center"/>
      </w:pPr>
    </w:p>
    <w:tbl>
      <w:tblPr>
        <w:tblW w:w="10155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6"/>
        <w:gridCol w:w="3696"/>
        <w:gridCol w:w="566"/>
        <w:gridCol w:w="851"/>
        <w:gridCol w:w="707"/>
        <w:gridCol w:w="710"/>
        <w:gridCol w:w="709"/>
      </w:tblGrid>
      <w:tr w:rsidR="00CA11C6" w:rsidRPr="006F5B79" w:rsidTr="0015744A">
        <w:trPr>
          <w:trHeight w:val="556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6F5B79" w:rsidRDefault="00CA11C6" w:rsidP="00C90474">
            <w:pPr>
              <w:pStyle w:val="af"/>
              <w:tabs>
                <w:tab w:val="left" w:pos="3242"/>
              </w:tabs>
              <w:snapToGrid w:val="0"/>
              <w:ind w:left="25" w:right="5"/>
              <w:jc w:val="center"/>
            </w:pPr>
            <w:r w:rsidRPr="006F5B79">
              <w:t>Ответственный исполнитель 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118" w:rsidRPr="006F5B79" w:rsidRDefault="00E17AD0" w:rsidP="00C90474">
            <w:pPr>
              <w:snapToGrid w:val="0"/>
              <w:jc w:val="center"/>
            </w:pPr>
            <w:r w:rsidRPr="006F5B79">
              <w:t>м</w:t>
            </w:r>
            <w:r w:rsidR="00CA11C6" w:rsidRPr="006F5B79">
              <w:t>униципальное казенное учреждение Златоустовского городского округа «Управление жилищно-коммунального хозяйства»</w:t>
            </w:r>
          </w:p>
          <w:p w:rsidR="00CA11C6" w:rsidRPr="006F5B79" w:rsidRDefault="00CA11C6" w:rsidP="008D42F5">
            <w:pPr>
              <w:snapToGrid w:val="0"/>
              <w:jc w:val="center"/>
            </w:pPr>
            <w:r w:rsidRPr="006F5B79">
              <w:t xml:space="preserve">(далее </w:t>
            </w:r>
            <w:r w:rsidR="008D42F5" w:rsidRPr="006F5B79">
              <w:t>– МКУ ЗГО «УЖКХ»</w:t>
            </w:r>
            <w:r w:rsidRPr="006F5B79">
              <w:t>)</w:t>
            </w:r>
          </w:p>
        </w:tc>
      </w:tr>
      <w:tr w:rsidR="00CA11C6" w:rsidRPr="006F5B79" w:rsidTr="0015744A"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6F5B79" w:rsidRDefault="00CA11C6" w:rsidP="00C90474">
            <w:pPr>
              <w:snapToGrid w:val="0"/>
              <w:jc w:val="center"/>
            </w:pPr>
            <w:r w:rsidRPr="006F5B79">
              <w:t>Соисполнители 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1C6" w:rsidRPr="006F5B79" w:rsidRDefault="00E17AD0" w:rsidP="00C90474">
            <w:pPr>
              <w:pStyle w:val="af"/>
              <w:snapToGrid w:val="0"/>
              <w:jc w:val="center"/>
            </w:pPr>
            <w:r w:rsidRPr="006F5B79">
              <w:t>Отсутствуют</w:t>
            </w:r>
          </w:p>
        </w:tc>
      </w:tr>
      <w:tr w:rsidR="008E2118" w:rsidRPr="006F5B79" w:rsidTr="0015744A"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118" w:rsidRPr="006F5B79" w:rsidRDefault="008E2118" w:rsidP="00C90474">
            <w:pPr>
              <w:snapToGrid w:val="0"/>
              <w:jc w:val="center"/>
            </w:pPr>
            <w:r w:rsidRPr="006F5B79">
              <w:t>Программно-целевые инструменты 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118" w:rsidRPr="006F5B79" w:rsidRDefault="008E2118" w:rsidP="00C90474">
            <w:pPr>
              <w:pStyle w:val="af"/>
              <w:snapToGrid w:val="0"/>
              <w:jc w:val="center"/>
            </w:pPr>
            <w:r w:rsidRPr="006F5B79">
              <w:t>Отсутствуют</w:t>
            </w:r>
            <w:bookmarkStart w:id="0" w:name="_GoBack"/>
            <w:bookmarkEnd w:id="0"/>
          </w:p>
        </w:tc>
      </w:tr>
      <w:tr w:rsidR="00CA11C6" w:rsidRPr="006F5B79" w:rsidTr="0015744A"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6F5B79" w:rsidRDefault="00CA11C6" w:rsidP="00C90474">
            <w:pPr>
              <w:pStyle w:val="af"/>
              <w:snapToGrid w:val="0"/>
              <w:ind w:left="65" w:right="5"/>
              <w:jc w:val="center"/>
            </w:pPr>
            <w:r w:rsidRPr="006F5B79">
              <w:t>Цел</w:t>
            </w:r>
            <w:r w:rsidR="0020780C" w:rsidRPr="006F5B79">
              <w:t>и</w:t>
            </w:r>
            <w:r w:rsidRPr="006F5B79">
              <w:t xml:space="preserve"> </w:t>
            </w:r>
            <w:r w:rsidR="006B168C" w:rsidRPr="006F5B79">
              <w:t>Подп</w:t>
            </w:r>
            <w:r w:rsidRPr="006F5B79">
              <w:t>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8F" w:rsidRPr="006F5B79" w:rsidRDefault="00FA558F" w:rsidP="005337B6">
            <w:pPr>
              <w:numPr>
                <w:ilvl w:val="0"/>
                <w:numId w:val="2"/>
              </w:numPr>
              <w:tabs>
                <w:tab w:val="left" w:pos="254"/>
              </w:tabs>
              <w:snapToGrid w:val="0"/>
              <w:ind w:left="0" w:firstLine="0"/>
              <w:jc w:val="both"/>
            </w:pPr>
            <w:r w:rsidRPr="006F5B79">
              <w:t>Создание комфортной среды проживания в населенных пунктах, расположенных на территории Златоустовс</w:t>
            </w:r>
            <w:r w:rsidR="008D42F5" w:rsidRPr="006F5B79">
              <w:t>кого городского округа (далее – округа</w:t>
            </w:r>
            <w:r w:rsidRPr="006F5B79">
              <w:t xml:space="preserve">). </w:t>
            </w:r>
          </w:p>
          <w:p w:rsidR="00FA558F" w:rsidRPr="006F5B79" w:rsidRDefault="00FA558F" w:rsidP="005337B6">
            <w:pPr>
              <w:numPr>
                <w:ilvl w:val="0"/>
                <w:numId w:val="2"/>
              </w:numPr>
              <w:tabs>
                <w:tab w:val="left" w:pos="254"/>
              </w:tabs>
              <w:snapToGrid w:val="0"/>
              <w:ind w:left="0" w:firstLine="0"/>
              <w:jc w:val="both"/>
              <w:rPr>
                <w:spacing w:val="-6"/>
                <w:kern w:val="24"/>
              </w:rPr>
            </w:pPr>
            <w:r w:rsidRPr="006F5B79">
              <w:rPr>
                <w:spacing w:val="-6"/>
                <w:kern w:val="24"/>
              </w:rPr>
              <w:t xml:space="preserve">Приведение </w:t>
            </w:r>
            <w:r w:rsidR="008D42F5" w:rsidRPr="006F5B79">
              <w:rPr>
                <w:spacing w:val="-6"/>
                <w:kern w:val="24"/>
              </w:rPr>
              <w:t xml:space="preserve">автомобильных </w:t>
            </w:r>
            <w:r w:rsidRPr="006F5B79">
              <w:rPr>
                <w:spacing w:val="-6"/>
                <w:kern w:val="24"/>
              </w:rPr>
              <w:t xml:space="preserve">дорог </w:t>
            </w:r>
            <w:r w:rsidR="008D42F5" w:rsidRPr="006F5B79">
              <w:rPr>
                <w:spacing w:val="-6"/>
                <w:kern w:val="24"/>
              </w:rPr>
              <w:t>округа</w:t>
            </w:r>
            <w:r w:rsidRPr="006F5B79">
              <w:rPr>
                <w:spacing w:val="-6"/>
                <w:kern w:val="24"/>
              </w:rPr>
              <w:t xml:space="preserve"> в соответствии  с требованиями, предъявляемыми к уровню дорожного покрытия общего пользования в соответствии с требованиями СНиП 2.05.02-85 «Автомобильные дороги», СНиП 2.07.01-89 «Градостроительство».</w:t>
            </w:r>
          </w:p>
          <w:p w:rsidR="004C7F1F" w:rsidRPr="006F5B79" w:rsidRDefault="00FA558F" w:rsidP="005337B6">
            <w:pPr>
              <w:numPr>
                <w:ilvl w:val="0"/>
                <w:numId w:val="2"/>
              </w:numPr>
              <w:tabs>
                <w:tab w:val="left" w:pos="254"/>
              </w:tabs>
              <w:snapToGrid w:val="0"/>
              <w:ind w:left="0" w:firstLine="0"/>
              <w:jc w:val="both"/>
            </w:pPr>
            <w:r w:rsidRPr="006F5B79">
              <w:t xml:space="preserve">Создание условий для обеспечения охраны жизни и здоровья граждан, их законных прав на безопасные условия движения на </w:t>
            </w:r>
            <w:r w:rsidR="008D42F5" w:rsidRPr="006F5B79">
              <w:t xml:space="preserve">автомобильных </w:t>
            </w:r>
            <w:r w:rsidRPr="006F5B79">
              <w:t xml:space="preserve">дорогах </w:t>
            </w:r>
            <w:r w:rsidR="008D42F5" w:rsidRPr="006F5B79">
              <w:t>округа</w:t>
            </w:r>
            <w:r w:rsidRPr="006F5B79">
              <w:t>.</w:t>
            </w:r>
          </w:p>
        </w:tc>
      </w:tr>
      <w:tr w:rsidR="00CA11C6" w:rsidRPr="006F5B79" w:rsidTr="0015744A"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1C6" w:rsidRPr="006F5B79" w:rsidRDefault="00E74C17" w:rsidP="00C90474">
            <w:pPr>
              <w:pStyle w:val="af"/>
              <w:snapToGrid w:val="0"/>
              <w:jc w:val="center"/>
            </w:pPr>
            <w:r w:rsidRPr="006F5B79">
              <w:t xml:space="preserve">Задачи </w:t>
            </w:r>
            <w:r w:rsidR="00CC2138" w:rsidRPr="006F5B79">
              <w:t>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8F" w:rsidRPr="006F5B79" w:rsidRDefault="00FA558F" w:rsidP="005337B6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bCs/>
                <w:iCs/>
              </w:rPr>
            </w:pPr>
            <w:r w:rsidRPr="006F5B79">
              <w:rPr>
                <w:bCs/>
                <w:iCs/>
              </w:rPr>
              <w:t>Повышение эффективности управления безопасностью дорожного движения.</w:t>
            </w:r>
          </w:p>
          <w:p w:rsidR="00FA558F" w:rsidRPr="006F5B79" w:rsidRDefault="00FA558F" w:rsidP="005337B6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bCs/>
                <w:iCs/>
              </w:rPr>
            </w:pPr>
            <w:r w:rsidRPr="006F5B79">
              <w:rPr>
                <w:bCs/>
                <w:iCs/>
              </w:rPr>
              <w:t>Ликвидация и профилактика возникновения очагов аварийности.</w:t>
            </w:r>
          </w:p>
          <w:p w:rsidR="004C7F1F" w:rsidRPr="006F5B79" w:rsidRDefault="00FA558F" w:rsidP="005337B6">
            <w:pPr>
              <w:pStyle w:val="af3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</w:pPr>
            <w:r w:rsidRPr="006F5B79">
              <w:rPr>
                <w:rFonts w:ascii="Times New Roman" w:hAnsi="Times New Roman" w:cs="Times New Roman"/>
                <w:bCs/>
                <w:iCs/>
              </w:rPr>
              <w:t>Обеспечение сохранности и развития автомобильных дорог и п</w:t>
            </w:r>
            <w:r w:rsidRPr="006F5B79">
              <w:rPr>
                <w:rFonts w:ascii="Times New Roman" w:hAnsi="Times New Roman" w:cs="Times New Roman"/>
                <w:bCs/>
                <w:iCs/>
              </w:rPr>
              <w:t>е</w:t>
            </w:r>
            <w:r w:rsidRPr="006F5B79">
              <w:rPr>
                <w:rFonts w:ascii="Times New Roman" w:hAnsi="Times New Roman" w:cs="Times New Roman"/>
                <w:bCs/>
                <w:iCs/>
              </w:rPr>
              <w:t>шеходных тротуаров, улучшения их технического состояния.</w:t>
            </w:r>
          </w:p>
        </w:tc>
      </w:tr>
      <w:tr w:rsidR="00DB1A97" w:rsidRPr="006F5B79" w:rsidTr="0015744A">
        <w:trPr>
          <w:trHeight w:val="20"/>
        </w:trPr>
        <w:tc>
          <w:tcPr>
            <w:tcW w:w="29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1A97" w:rsidRPr="006F5B79" w:rsidRDefault="00DB1A97" w:rsidP="00C90474">
            <w:pPr>
              <w:snapToGrid w:val="0"/>
              <w:ind w:left="-25" w:right="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Целевые индикаторы и показатели Подпрограммы</w:t>
            </w:r>
          </w:p>
        </w:tc>
        <w:tc>
          <w:tcPr>
            <w:tcW w:w="3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A97" w:rsidRPr="006F5B79" w:rsidRDefault="001072AD" w:rsidP="00C90474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Наименование</w:t>
            </w:r>
            <w:r w:rsidR="00DB1A97" w:rsidRPr="006F5B79">
              <w:rPr>
                <w:rFonts w:ascii="Times New Roman" w:hAnsi="Times New Roman" w:cs="Times New Roman"/>
                <w:color w:val="000000"/>
              </w:rPr>
              <w:t xml:space="preserve"> индикатор</w:t>
            </w:r>
            <w:r w:rsidRPr="006F5B7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A97" w:rsidRPr="006F5B79" w:rsidRDefault="00DB1A97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1A97" w:rsidRPr="006F5B79" w:rsidRDefault="00DB1A97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Показатели</w:t>
            </w:r>
            <w:r w:rsidR="00413892" w:rsidRPr="006F5B79">
              <w:rPr>
                <w:rFonts w:ascii="Times New Roman" w:hAnsi="Times New Roman" w:cs="Times New Roman"/>
                <w:color w:val="000000"/>
              </w:rPr>
              <w:t xml:space="preserve"> по годам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pStyle w:val="af3"/>
              <w:tabs>
                <w:tab w:val="left" w:pos="248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6F5B79" w:rsidRDefault="00FE0656" w:rsidP="00FE0656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5B79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Содержание автомобильных дорог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дни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FE0656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FE0656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FE0656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3B5856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Содержание инженерных сооружений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дни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FE0656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FE0656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492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Отремонтированные автомобильные дороги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687B25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м</w:t>
            </w:r>
            <w:r w:rsidRPr="006F5B79">
              <w:rPr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797FF3">
            <w:pPr>
              <w:widowControl w:val="0"/>
              <w:autoSpaceDE w:val="0"/>
              <w:autoSpaceDN w:val="0"/>
              <w:adjustRightInd w:val="0"/>
              <w:ind w:left="-54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123 646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8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C56E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Доля отремонтированных автомобильных дорог общего пользования местного значения с твердым покрытием,  в отношении которых  произведен ремонт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4F77A5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2,9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687B25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обслуживаемых светофорных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D204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ED16FA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обслуживаемых световозвращающих знаков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D204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1 210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305BCD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</w:t>
            </w:r>
            <w:r w:rsidR="00D14A87" w:rsidRPr="00D14A87">
              <w:rPr>
                <w:color w:val="000000"/>
              </w:rPr>
              <w:t xml:space="preserve"> </w:t>
            </w:r>
            <w:r w:rsidRPr="00D14A87">
              <w:rPr>
                <w:color w:val="000000"/>
              </w:rPr>
              <w:t>263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BF337F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замененных световозвращающих знаков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A276DA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D204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305BCD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05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BF337F">
            <w:pPr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смонтированных световозвращающих знаков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A276DA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A7E43" w:rsidRDefault="006C63E4" w:rsidP="00C90474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148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C90474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797FF3" w:rsidP="00FE0656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64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установленных пешеходных ограждений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A276DA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зв.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A276DA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305BCD" w:rsidP="00C90474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233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967034" w:rsidP="00C90474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967034" w:rsidP="00FE0656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136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Протяженность нанесенной разметки (продольная)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797FF3" w:rsidP="00797FF3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62,61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305BCD" w:rsidP="00C90474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80,14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967034" w:rsidP="00C90474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967034" w:rsidP="00FE0656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0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Объем нанесенной разметки (пешеходный переход)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  <w:vertAlign w:val="superscript"/>
              </w:rPr>
            </w:pPr>
            <w:r w:rsidRPr="006F5B79">
              <w:rPr>
                <w:color w:val="000000"/>
              </w:rPr>
              <w:t>м</w:t>
            </w:r>
            <w:r w:rsidRPr="006F5B79">
              <w:rPr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967034" w:rsidP="00A276D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</w:t>
            </w:r>
            <w:r w:rsidR="00D14A87" w:rsidRPr="00D14A87">
              <w:rPr>
                <w:color w:val="000000"/>
              </w:rPr>
              <w:t xml:space="preserve"> </w:t>
            </w:r>
            <w:r w:rsidRPr="00D14A87">
              <w:rPr>
                <w:color w:val="000000"/>
              </w:rPr>
              <w:t>257,7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305BCD" w:rsidP="00C90474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</w:t>
            </w:r>
            <w:r w:rsidR="00D14A87" w:rsidRPr="00D14A87">
              <w:rPr>
                <w:color w:val="000000"/>
              </w:rPr>
              <w:t xml:space="preserve"> </w:t>
            </w:r>
            <w:r w:rsidRPr="00D14A87">
              <w:rPr>
                <w:color w:val="000000"/>
              </w:rPr>
              <w:t>249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967034" w:rsidP="00C90474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967034" w:rsidP="00FE0656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FE0656" w:rsidRPr="006F5B79" w:rsidTr="0015744A">
        <w:trPr>
          <w:trHeight w:val="234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656" w:rsidRPr="006F5B79" w:rsidRDefault="00FE0656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Модернизация светофорных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6F5B79" w:rsidRDefault="00FE0656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A7E43" w:rsidRDefault="00967034" w:rsidP="00A276DA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A7E43" w:rsidRDefault="006C63E4" w:rsidP="00C90474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D14A87" w:rsidRDefault="00967034" w:rsidP="00C90474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D14A87" w:rsidRDefault="00967034" w:rsidP="00FE0656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EB0244" w:rsidRPr="006F5B79" w:rsidTr="0015744A">
        <w:trPr>
          <w:trHeight w:val="234"/>
        </w:trPr>
        <w:tc>
          <w:tcPr>
            <w:tcW w:w="2916" w:type="dxa"/>
            <w:tcBorders>
              <w:left w:val="single" w:sz="4" w:space="0" w:color="000000"/>
            </w:tcBorders>
            <w:shd w:val="clear" w:color="auto" w:fill="auto"/>
          </w:tcPr>
          <w:p w:rsidR="00305BCD" w:rsidRPr="006F5B79" w:rsidRDefault="00305BCD" w:rsidP="00E74C17">
            <w:pPr>
              <w:snapToGrid w:val="0"/>
              <w:ind w:left="-25" w:right="5"/>
              <w:rPr>
                <w:color w:val="00000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CD" w:rsidRPr="006F5B79" w:rsidRDefault="00305BCD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оборудованных пешеходных переходов возле образовательных учреждений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CD" w:rsidRPr="006F5B79" w:rsidRDefault="00305BCD" w:rsidP="00C90474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CD" w:rsidRPr="00EA7E43" w:rsidRDefault="00305BCD" w:rsidP="00A276DA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CD" w:rsidRPr="00EA7E43" w:rsidRDefault="00305BCD" w:rsidP="00C90474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CD" w:rsidRPr="00D14A87" w:rsidRDefault="00305BCD" w:rsidP="00C90474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5BCD" w:rsidRPr="00D14A87" w:rsidRDefault="00305BCD" w:rsidP="00FE0656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C918C7" w:rsidRPr="00E94F27" w:rsidTr="0015744A">
        <w:trPr>
          <w:trHeight w:val="548"/>
        </w:trPr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8C7" w:rsidRPr="00E94F27" w:rsidRDefault="00352F06" w:rsidP="00352F06">
            <w:pPr>
              <w:pStyle w:val="af"/>
              <w:snapToGrid w:val="0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Этапы и с</w:t>
            </w:r>
            <w:r w:rsidR="00D33975" w:rsidRPr="00E94F27">
              <w:rPr>
                <w:color w:val="000000"/>
              </w:rPr>
              <w:t xml:space="preserve">роки </w:t>
            </w:r>
            <w:r w:rsidR="00C918C7" w:rsidRPr="00E94F27">
              <w:rPr>
                <w:color w:val="000000"/>
              </w:rPr>
              <w:t xml:space="preserve">реализации </w:t>
            </w:r>
            <w:r w:rsidR="00D33975" w:rsidRPr="00E94F27">
              <w:rPr>
                <w:color w:val="000000"/>
              </w:rPr>
              <w:t>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8C7" w:rsidRPr="00EA7E43" w:rsidRDefault="00C918C7" w:rsidP="00A22A99">
            <w:pPr>
              <w:snapToGrid w:val="0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2014-201</w:t>
            </w:r>
            <w:r w:rsidR="00A22A99" w:rsidRPr="00EA7E43">
              <w:rPr>
                <w:color w:val="000000"/>
              </w:rPr>
              <w:t>7</w:t>
            </w:r>
            <w:r w:rsidRPr="00EA7E43">
              <w:rPr>
                <w:color w:val="000000"/>
              </w:rPr>
              <w:t xml:space="preserve"> годы</w:t>
            </w:r>
          </w:p>
        </w:tc>
      </w:tr>
      <w:tr w:rsidR="00D33975" w:rsidRPr="00E94F27" w:rsidTr="0015744A">
        <w:trPr>
          <w:trHeight w:val="837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0474" w:rsidRPr="00E94F27" w:rsidRDefault="00D33975" w:rsidP="00C90474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 xml:space="preserve">Объемы </w:t>
            </w:r>
            <w:r w:rsidR="00C90474" w:rsidRPr="00E94F27">
              <w:rPr>
                <w:color w:val="000000"/>
              </w:rPr>
              <w:t>бюджетных ассигнований</w:t>
            </w:r>
          </w:p>
          <w:p w:rsidR="00D33975" w:rsidRPr="00E94F27" w:rsidRDefault="00D33975" w:rsidP="00C90474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 xml:space="preserve"> Подпрограммы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0E95" w:rsidRPr="00EA7E43" w:rsidRDefault="007F0E95" w:rsidP="007F0E95">
            <w:pPr>
              <w:jc w:val="both"/>
              <w:rPr>
                <w:color w:val="000000"/>
                <w:spacing w:val="-4"/>
                <w:kern w:val="24"/>
              </w:rPr>
            </w:pPr>
            <w:r w:rsidRPr="00EA7E43">
              <w:rPr>
                <w:color w:val="000000"/>
              </w:rPr>
              <w:t xml:space="preserve">Общий </w:t>
            </w:r>
            <w:r w:rsidRPr="00EA7E43">
              <w:rPr>
                <w:color w:val="000000"/>
                <w:spacing w:val="-4"/>
                <w:kern w:val="24"/>
              </w:rPr>
              <w:t xml:space="preserve">объем финансирования Подпрограммы – </w:t>
            </w:r>
            <w:r w:rsidR="006A5051" w:rsidRPr="00EA7E43">
              <w:rPr>
                <w:color w:val="000000"/>
                <w:spacing w:val="-4"/>
                <w:kern w:val="24"/>
              </w:rPr>
              <w:t>396</w:t>
            </w:r>
            <w:r w:rsidR="005E359A" w:rsidRPr="00EA7E43">
              <w:rPr>
                <w:color w:val="000000"/>
                <w:spacing w:val="-4"/>
                <w:kern w:val="24"/>
              </w:rPr>
              <w:t> 734,43</w:t>
            </w:r>
            <w:r w:rsidR="00A22A99" w:rsidRPr="00EA7E43">
              <w:rPr>
                <w:color w:val="000000"/>
                <w:spacing w:val="-4"/>
                <w:kern w:val="24"/>
              </w:rPr>
              <w:t xml:space="preserve"> </w:t>
            </w:r>
            <w:r w:rsidRPr="00EA7E43">
              <w:rPr>
                <w:color w:val="000000"/>
                <w:spacing w:val="-4"/>
                <w:kern w:val="24"/>
              </w:rPr>
              <w:t>тыс. руб.:</w:t>
            </w:r>
          </w:p>
          <w:p w:rsidR="00FE0656" w:rsidRPr="00EA7E43" w:rsidRDefault="00FE0656" w:rsidP="00FE0656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Местный бюджет – </w:t>
            </w:r>
            <w:r w:rsidR="005E359A" w:rsidRPr="00EA7E43">
              <w:rPr>
                <w:color w:val="000000"/>
              </w:rPr>
              <w:t>262 395,23</w:t>
            </w:r>
            <w:r w:rsidR="00983389" w:rsidRPr="00EA7E43">
              <w:rPr>
                <w:color w:val="000000"/>
              </w:rPr>
              <w:t xml:space="preserve"> </w:t>
            </w:r>
            <w:r w:rsidRPr="00EA7E43">
              <w:rPr>
                <w:color w:val="000000"/>
              </w:rPr>
              <w:t xml:space="preserve"> 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Областной бюджет – </w:t>
            </w:r>
            <w:r w:rsidR="00A22A99" w:rsidRPr="00EA7E43">
              <w:rPr>
                <w:color w:val="000000"/>
              </w:rPr>
              <w:t>13</w:t>
            </w:r>
            <w:r w:rsidR="003556CC" w:rsidRPr="00EA7E43">
              <w:rPr>
                <w:color w:val="000000"/>
              </w:rPr>
              <w:t>4 339,2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>Общий объем финансирования в 2014 г. –</w:t>
            </w:r>
            <w:r w:rsidR="006A5051" w:rsidRPr="00EA7E43">
              <w:rPr>
                <w:color w:val="000000"/>
              </w:rPr>
              <w:t xml:space="preserve"> </w:t>
            </w:r>
            <w:r w:rsidR="00A22A99" w:rsidRPr="00EA7E43">
              <w:rPr>
                <w:color w:val="000000"/>
              </w:rPr>
              <w:t>211</w:t>
            </w:r>
            <w:r w:rsidR="003556CC" w:rsidRPr="00EA7E43">
              <w:rPr>
                <w:color w:val="000000"/>
              </w:rPr>
              <w:t> </w:t>
            </w:r>
            <w:r w:rsidR="00A22A99" w:rsidRPr="00EA7E43">
              <w:rPr>
                <w:color w:val="000000"/>
              </w:rPr>
              <w:t>8</w:t>
            </w:r>
            <w:r w:rsidR="003556CC" w:rsidRPr="00EA7E43">
              <w:rPr>
                <w:color w:val="000000"/>
              </w:rPr>
              <w:t>43,6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руб.:</w:t>
            </w:r>
          </w:p>
          <w:p w:rsidR="00FE0656" w:rsidRPr="00EA7E43" w:rsidRDefault="00FE0656" w:rsidP="00FE0656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Местный бюджет – </w:t>
            </w:r>
            <w:r w:rsidR="003556CC" w:rsidRPr="00EA7E43">
              <w:rPr>
                <w:color w:val="000000"/>
              </w:rPr>
              <w:t>77 504,4</w:t>
            </w:r>
            <w:r w:rsidR="00270BB0" w:rsidRPr="00EA7E43">
              <w:rPr>
                <w:color w:val="000000"/>
              </w:rPr>
              <w:t xml:space="preserve">0 </w:t>
            </w:r>
            <w:r w:rsidRPr="00EA7E43">
              <w:rPr>
                <w:color w:val="000000"/>
              </w:rPr>
              <w:t>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Областной бюджет – </w:t>
            </w:r>
            <w:r w:rsidR="00A22A99" w:rsidRPr="00EA7E43">
              <w:rPr>
                <w:color w:val="000000"/>
              </w:rPr>
              <w:t>13</w:t>
            </w:r>
            <w:r w:rsidR="003556CC" w:rsidRPr="00EA7E43">
              <w:rPr>
                <w:color w:val="000000"/>
              </w:rPr>
              <w:t>4 339,2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Общий объем финансирования в 2015 г. – </w:t>
            </w:r>
            <w:r w:rsidR="005E359A" w:rsidRPr="00EA7E43">
              <w:rPr>
                <w:color w:val="000000"/>
              </w:rPr>
              <w:t>125 358,83</w:t>
            </w:r>
            <w:r w:rsidRPr="00EA7E43">
              <w:rPr>
                <w:color w:val="000000"/>
              </w:rPr>
              <w:t xml:space="preserve"> тыс. руб.:</w:t>
            </w:r>
          </w:p>
          <w:p w:rsidR="00FE0656" w:rsidRPr="00EA7E43" w:rsidRDefault="00FE0656" w:rsidP="00FE0656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Местный бюджет – </w:t>
            </w:r>
            <w:r w:rsidR="006A5051" w:rsidRPr="00EA7E43">
              <w:rPr>
                <w:color w:val="000000"/>
              </w:rPr>
              <w:t>125</w:t>
            </w:r>
            <w:r w:rsidR="005E359A" w:rsidRPr="00EA7E43">
              <w:rPr>
                <w:color w:val="000000"/>
              </w:rPr>
              <w:t> 358,83</w:t>
            </w:r>
            <w:r w:rsidRPr="00EA7E43">
              <w:rPr>
                <w:color w:val="000000"/>
              </w:rPr>
              <w:t xml:space="preserve"> 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>Областной бюджет – 0,0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FE0656" w:rsidRPr="00EA7E43" w:rsidRDefault="00FE0656" w:rsidP="007F0E95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Общий объем финансирования в 2016 г. – </w:t>
            </w:r>
            <w:r w:rsidR="00983389" w:rsidRPr="00EA7E43">
              <w:rPr>
                <w:color w:val="000000"/>
              </w:rPr>
              <w:t>32 859,0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руб.:</w:t>
            </w:r>
          </w:p>
          <w:p w:rsidR="00FE0656" w:rsidRPr="00EA7E43" w:rsidRDefault="00FE0656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Местный бюджет – </w:t>
            </w:r>
            <w:r w:rsidR="00983389" w:rsidRPr="00EA7E43">
              <w:rPr>
                <w:color w:val="000000"/>
              </w:rPr>
              <w:t>32 859,0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7F0E95" w:rsidRPr="00EA7E43" w:rsidRDefault="007F0E95" w:rsidP="007F0E95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>Областной бюджет – 0,0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D33975" w:rsidRPr="00EA7E43" w:rsidRDefault="00D33975" w:rsidP="00A22A99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A22A99" w:rsidRPr="00EA7E43" w:rsidRDefault="00A22A99" w:rsidP="00A22A99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Общий объем финансирования в 2017 г. – </w:t>
            </w:r>
            <w:r w:rsidR="00983389" w:rsidRPr="00EA7E43">
              <w:rPr>
                <w:color w:val="000000"/>
              </w:rPr>
              <w:t>26 673,0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руб.:</w:t>
            </w:r>
          </w:p>
          <w:p w:rsidR="00FE0656" w:rsidRPr="00EA7E43" w:rsidRDefault="00FE0656" w:rsidP="00A22A99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Местный бюджет – </w:t>
            </w:r>
            <w:r w:rsidR="00983389" w:rsidRPr="00EA7E43">
              <w:rPr>
                <w:color w:val="000000"/>
              </w:rPr>
              <w:t>26 673,0</w:t>
            </w:r>
            <w:r w:rsidR="00270BB0" w:rsidRPr="00EA7E43">
              <w:rPr>
                <w:color w:val="000000"/>
              </w:rPr>
              <w:t>0</w:t>
            </w:r>
            <w:r w:rsidRPr="00EA7E43">
              <w:rPr>
                <w:color w:val="000000"/>
              </w:rPr>
              <w:t xml:space="preserve"> тыс. руб.</w:t>
            </w:r>
          </w:p>
          <w:p w:rsidR="00A22A99" w:rsidRPr="00EA7E43" w:rsidRDefault="00A22A99" w:rsidP="00A22A99">
            <w:pPr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>О</w:t>
            </w:r>
            <w:r w:rsidR="00FE0656" w:rsidRPr="00EA7E43">
              <w:rPr>
                <w:color w:val="000000"/>
              </w:rPr>
              <w:t>бластной бюджет – 0,0</w:t>
            </w:r>
            <w:r w:rsidR="00270BB0" w:rsidRPr="00EA7E43">
              <w:rPr>
                <w:color w:val="000000"/>
              </w:rPr>
              <w:t>0</w:t>
            </w:r>
            <w:r w:rsidR="00FE0656" w:rsidRPr="00EA7E43">
              <w:rPr>
                <w:color w:val="000000"/>
              </w:rPr>
              <w:t xml:space="preserve"> тыс. руб.</w:t>
            </w:r>
          </w:p>
        </w:tc>
      </w:tr>
      <w:tr w:rsidR="001D6988" w:rsidRPr="00E94F27" w:rsidTr="0015744A">
        <w:trPr>
          <w:trHeight w:val="217"/>
        </w:trPr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988" w:rsidRPr="00E94F27" w:rsidRDefault="001D6988" w:rsidP="00FA1A7B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Ожидаемые результаты реализации  П</w:t>
            </w:r>
            <w:r w:rsidR="009B1B96" w:rsidRPr="00E94F27">
              <w:rPr>
                <w:color w:val="000000"/>
              </w:rPr>
              <w:t>одп</w:t>
            </w:r>
            <w:r w:rsidRPr="00E94F27">
              <w:rPr>
                <w:color w:val="000000"/>
              </w:rPr>
              <w:t xml:space="preserve">рограммы  </w:t>
            </w:r>
          </w:p>
        </w:tc>
        <w:tc>
          <w:tcPr>
            <w:tcW w:w="72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AE" w:rsidRPr="00EA7E43" w:rsidRDefault="00E850AE" w:rsidP="005337B6">
            <w:pPr>
              <w:numPr>
                <w:ilvl w:val="1"/>
                <w:numId w:val="14"/>
              </w:numPr>
              <w:tabs>
                <w:tab w:val="left" w:pos="370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>Удовлетворенность населения округа условиями комфортного, благоприятного и безопасного проживания и отдыха на территории округа, а также предоставления транспортных услуг – снижение к</w:t>
            </w:r>
            <w:r w:rsidRPr="00EA7E43">
              <w:rPr>
                <w:color w:val="000000"/>
              </w:rPr>
              <w:t>о</w:t>
            </w:r>
            <w:r w:rsidRPr="00EA7E43">
              <w:rPr>
                <w:color w:val="000000"/>
              </w:rPr>
              <w:t>личества жалоб населения на оказываемые услуги (количество пис</w:t>
            </w:r>
            <w:r w:rsidRPr="00EA7E43">
              <w:rPr>
                <w:color w:val="000000"/>
              </w:rPr>
              <w:t>ь</w:t>
            </w:r>
            <w:r w:rsidRPr="00EA7E43">
              <w:rPr>
                <w:color w:val="000000"/>
              </w:rPr>
              <w:t>менных жалоб от получателей услуг не более 8-ми жалоб на 10000 жителей в год).</w:t>
            </w:r>
          </w:p>
          <w:p w:rsidR="00194A09" w:rsidRPr="00EA7E43" w:rsidRDefault="00E850AE" w:rsidP="00E850AE">
            <w:pPr>
              <w:tabs>
                <w:tab w:val="left" w:pos="228"/>
              </w:tabs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2. </w:t>
            </w:r>
            <w:r w:rsidR="0030518F" w:rsidRPr="00EA7E43">
              <w:rPr>
                <w:color w:val="000000"/>
              </w:rPr>
              <w:t>Увеличение доли отремонтированных авто</w:t>
            </w:r>
            <w:r w:rsidR="00194A09" w:rsidRPr="00EA7E43">
              <w:rPr>
                <w:color w:val="000000"/>
              </w:rPr>
              <w:t xml:space="preserve">мобильных </w:t>
            </w:r>
            <w:r w:rsidR="0030518F" w:rsidRPr="00EA7E43">
              <w:rPr>
                <w:color w:val="000000"/>
              </w:rPr>
              <w:t>дорог и тротуаров общего пользования местного значения с твердым покрытием, в отношении которых произведен ремонт.</w:t>
            </w:r>
          </w:p>
          <w:p w:rsidR="001D6988" w:rsidRPr="00EA7E43" w:rsidRDefault="00E850AE" w:rsidP="00E850AE">
            <w:pPr>
              <w:tabs>
                <w:tab w:val="left" w:pos="228"/>
              </w:tabs>
              <w:jc w:val="both"/>
              <w:rPr>
                <w:color w:val="000000"/>
              </w:rPr>
            </w:pPr>
            <w:r w:rsidRPr="00EA7E43">
              <w:rPr>
                <w:color w:val="000000"/>
              </w:rPr>
              <w:t xml:space="preserve">3. </w:t>
            </w:r>
            <w:r w:rsidR="0030518F" w:rsidRPr="00EA7E43">
              <w:rPr>
                <w:color w:val="000000"/>
              </w:rPr>
              <w:t xml:space="preserve">Снижение доли </w:t>
            </w:r>
            <w:r w:rsidR="00194A09" w:rsidRPr="00EA7E43">
              <w:rPr>
                <w:color w:val="000000"/>
              </w:rPr>
              <w:t>ДТП</w:t>
            </w:r>
            <w:r w:rsidR="0030518F" w:rsidRPr="00EA7E43">
              <w:rPr>
                <w:color w:val="000000"/>
              </w:rPr>
              <w:t xml:space="preserve">, совершению которых сопутствовало наличие неудовлетворительных дорожных  условий, в общем количестве </w:t>
            </w:r>
            <w:r w:rsidR="00194A09" w:rsidRPr="00EA7E43">
              <w:rPr>
                <w:color w:val="000000"/>
              </w:rPr>
              <w:t>ДТП составляет 1,6%.</w:t>
            </w:r>
          </w:p>
        </w:tc>
      </w:tr>
    </w:tbl>
    <w:p w:rsidR="00A13CC5" w:rsidRPr="00E94F27" w:rsidRDefault="00A13CC5" w:rsidP="00E33B12">
      <w:pPr>
        <w:jc w:val="center"/>
        <w:rPr>
          <w:b/>
          <w:color w:val="000000"/>
        </w:rPr>
      </w:pPr>
    </w:p>
    <w:p w:rsidR="004D54E3" w:rsidRPr="00E94F27" w:rsidRDefault="004D54E3" w:rsidP="00E33B12">
      <w:pPr>
        <w:jc w:val="center"/>
        <w:rPr>
          <w:b/>
          <w:color w:val="000000"/>
        </w:rPr>
      </w:pPr>
    </w:p>
    <w:p w:rsidR="004D54E3" w:rsidRPr="00EA7E43" w:rsidRDefault="00E33B12" w:rsidP="00E33B12">
      <w:pPr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Раздел </w:t>
      </w:r>
      <w:r w:rsidR="002F4BD0" w:rsidRPr="00EA7E43">
        <w:rPr>
          <w:color w:val="000000"/>
          <w:sz w:val="28"/>
          <w:lang w:val="en-US"/>
        </w:rPr>
        <w:t>II</w:t>
      </w:r>
      <w:r w:rsidRPr="00EA7E43">
        <w:rPr>
          <w:color w:val="000000"/>
          <w:sz w:val="28"/>
        </w:rPr>
        <w:t xml:space="preserve">. Характеристика </w:t>
      </w:r>
      <w:r w:rsidR="004D54E3" w:rsidRPr="00EA7E43">
        <w:rPr>
          <w:color w:val="000000"/>
          <w:sz w:val="28"/>
        </w:rPr>
        <w:t xml:space="preserve">сферы реализации подпрограммы, </w:t>
      </w:r>
    </w:p>
    <w:p w:rsidR="00113F3C" w:rsidRPr="00EA7E43" w:rsidRDefault="004D54E3" w:rsidP="00E33B12">
      <w:pPr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описание основных проблем </w:t>
      </w:r>
      <w:r w:rsidR="00113F3C" w:rsidRPr="00EA7E43">
        <w:rPr>
          <w:color w:val="000000"/>
          <w:sz w:val="28"/>
        </w:rPr>
        <w:t xml:space="preserve">в организации дорожной деятельности </w:t>
      </w:r>
    </w:p>
    <w:p w:rsidR="00E33B12" w:rsidRPr="00EA7E43" w:rsidRDefault="00113F3C" w:rsidP="00E33B12">
      <w:pPr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>и повышения безопасности дорожного движения</w:t>
      </w:r>
    </w:p>
    <w:p w:rsidR="00E33B12" w:rsidRPr="00E94F27" w:rsidRDefault="00E33B12" w:rsidP="00E33B12">
      <w:pPr>
        <w:jc w:val="both"/>
        <w:rPr>
          <w:color w:val="000000"/>
        </w:rPr>
      </w:pPr>
    </w:p>
    <w:p w:rsidR="00D91C84" w:rsidRPr="00EA7E43" w:rsidRDefault="00D91C84" w:rsidP="00EA7E43">
      <w:pPr>
        <w:tabs>
          <w:tab w:val="left" w:pos="851"/>
          <w:tab w:val="left" w:pos="1134"/>
        </w:tabs>
        <w:suppressAutoHyphens w:val="0"/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Концепция Стратегии социально-экономического развития округа </w:t>
      </w:r>
      <w:r w:rsidR="00EA7E43">
        <w:rPr>
          <w:color w:val="000000"/>
          <w:sz w:val="28"/>
        </w:rPr>
        <w:t xml:space="preserve">                             </w:t>
      </w:r>
      <w:r w:rsidRPr="00EA7E43">
        <w:rPr>
          <w:color w:val="000000"/>
          <w:sz w:val="28"/>
        </w:rPr>
        <w:t>на долгосрочную перспективу определяет благоустройство территорий нас</w:t>
      </w:r>
      <w:r w:rsidRPr="00EA7E43">
        <w:rPr>
          <w:color w:val="000000"/>
          <w:sz w:val="28"/>
        </w:rPr>
        <w:t>е</w:t>
      </w:r>
      <w:r w:rsidRPr="00EA7E43">
        <w:rPr>
          <w:color w:val="000000"/>
          <w:sz w:val="28"/>
        </w:rPr>
        <w:t>ленных пунктов как важнейшую составную часть потенциала округа, а ее ра</w:t>
      </w:r>
      <w:r w:rsidRPr="00EA7E43">
        <w:rPr>
          <w:color w:val="000000"/>
          <w:sz w:val="28"/>
        </w:rPr>
        <w:t>з</w:t>
      </w:r>
      <w:r w:rsidRPr="00EA7E43">
        <w:rPr>
          <w:color w:val="000000"/>
          <w:sz w:val="28"/>
        </w:rPr>
        <w:t xml:space="preserve">витие – как </w:t>
      </w:r>
      <w:r w:rsidR="00EA7E43">
        <w:rPr>
          <w:color w:val="000000"/>
          <w:sz w:val="28"/>
        </w:rPr>
        <w:t xml:space="preserve">     </w:t>
      </w:r>
      <w:r w:rsidRPr="00EA7E43">
        <w:rPr>
          <w:color w:val="000000"/>
          <w:sz w:val="28"/>
        </w:rPr>
        <w:t>одну из приоритетных задач органов местного самоуправления.</w:t>
      </w:r>
    </w:p>
    <w:p w:rsidR="00D91C84" w:rsidRPr="00EA7E43" w:rsidRDefault="00D91C8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lastRenderedPageBreak/>
        <w:t>Повышение уровня качества среды проживания является необходимым условием стабилизации и подъема экономики округа и повышения уровня жизни населения.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Имеющиеся объекты благоустройства, расположенные на территории округа,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Финансово-экономические механизмы, обеспечивающие восстановление и ремонт существующих объектов благоустройства и транспортной инфраструктуры и строительство новых, недостаточно эффективны и не в полной мере адаптированы к особенностям развития территории округа.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Низкий уровень благоустройства населенных пунктов и состояние транспортной инфраструктуры на территории округа вызывает дополнительную социальную напряженность в обществе.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Помимо указанных общих проблем, имеются также специфические, влияющие на уровень благоустройства округа:</w:t>
      </w:r>
    </w:p>
    <w:p w:rsidR="002B1C74" w:rsidRPr="00EA7E43" w:rsidRDefault="002B1C74" w:rsidP="00EA7E43">
      <w:pPr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Повышенный уровень эксплуатационных нагрузок на объекты благоустройства и транспортной инфраструктуры, расположенные на территории округа.</w:t>
      </w:r>
    </w:p>
    <w:p w:rsidR="002B1C74" w:rsidRPr="00EA7E43" w:rsidRDefault="002B1C74" w:rsidP="00EA7E43">
      <w:pPr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Развитие дорожной сети не соответствует темпам автомобилизации, как округа, так и Челябинской области в целом.</w:t>
      </w:r>
    </w:p>
    <w:p w:rsidR="002B1C74" w:rsidRPr="00EA7E43" w:rsidRDefault="002B1C74" w:rsidP="00EA7E43">
      <w:pPr>
        <w:tabs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2B1C74" w:rsidRPr="00EA7E43" w:rsidRDefault="002B1C74" w:rsidP="00EA7E43">
      <w:pPr>
        <w:numPr>
          <w:ilvl w:val="0"/>
          <w:numId w:val="1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Высоким уровнем физического, морального и экономического износа дорожного покрытия и примыкающих пешеходных зон на территории округа. На сегодняшний момент износ дорожного покрытия, пешеходных дорожек и тротуаров, расположенных на территории округа, достигает 50 процентов.</w:t>
      </w:r>
    </w:p>
    <w:p w:rsidR="002B1C74" w:rsidRPr="00EA7E43" w:rsidRDefault="002B1C74" w:rsidP="00EA7E43">
      <w:pPr>
        <w:numPr>
          <w:ilvl w:val="0"/>
          <w:numId w:val="1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Динамично развивающимся сектором частной малоэтажной жилой застройки на территории населенных пунктов округа и, как следствие, расширением территорий общего пользования (улиц, дорог, пешеходных переходов, транспортных пересечений).</w:t>
      </w:r>
    </w:p>
    <w:p w:rsidR="002B1C74" w:rsidRPr="00EA7E43" w:rsidRDefault="002B1C74" w:rsidP="00EA7E43">
      <w:pPr>
        <w:numPr>
          <w:ilvl w:val="0"/>
          <w:numId w:val="10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2B1C74" w:rsidRPr="00EA7E43" w:rsidRDefault="002B1C74" w:rsidP="00EA7E43">
      <w:pPr>
        <w:tabs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Существующий уровень благоустройства и состояние транспортной инфраструктуры не отвечают требованиям ГОСТа, СНиПа и иных действующих нормативных актов, что является причиной: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Негативного восприятия жителями и гостями территории округа.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Снижения транспортной доступности объектов, расположенных на территории округа.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Повышения эксплуатационных затрат населения и предприятий, осуществляющих свою деятельность на территории округа.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Снижения уровня безопасности движения.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Повышения уровня эксплуатационных нагрузок на транспортные магистрали, имеющие меньший уровень износа.</w:t>
      </w:r>
    </w:p>
    <w:p w:rsidR="002B1C74" w:rsidRPr="00EA7E43" w:rsidRDefault="002B1C74" w:rsidP="00EA7E43">
      <w:pPr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Снижение уровня комфортности проживания и временного пребывания.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lastRenderedPageBreak/>
        <w:t>Ремонт и реконструкция имеющихся и создание новых объектов благоустройства и транспортной инфраструктуры,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округа нельзя добиться существенного повышения имеющегося потенциала округа и эффективного обслуживания экономики и населения округа, а также обеспечить в полной мере безопасность жизнедеятельности и охрану окружающей среды.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Таким образом, проблема низкого уровня благоустройства и развития транспортной инфраструктуры округа,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учитывать:</w:t>
      </w:r>
    </w:p>
    <w:p w:rsidR="002B1C74" w:rsidRPr="00EA7E43" w:rsidRDefault="002B1C74" w:rsidP="00EA7E43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Соответствие уровня благоустройства и развития транспортной инфраструктуры общим направлениям социально-экономического развития округа.</w:t>
      </w:r>
    </w:p>
    <w:p w:rsidR="002B1C74" w:rsidRPr="00EA7E43" w:rsidRDefault="002B1C74" w:rsidP="00EA7E43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Опережающее развитие системы автомобильных и пешеходных дорог по сравнению с другими отраслями экономики, что позволит снять ограничения, накладываемые требованиями к коммуникациям в области производства и реализации товаров и услуг населению и социальной сфере.</w:t>
      </w:r>
    </w:p>
    <w:p w:rsidR="002B1C74" w:rsidRPr="00EA7E43" w:rsidRDefault="002B1C74" w:rsidP="00EA7E43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Общие закономерности формирования транспортных систем (пропорциональность развития транспортного хозяйства, рациональные схемы транспортной сети, оптимальные режимы работы и т.д.), что должно обеспечить высокую эффективность инвестиций.</w:t>
      </w:r>
    </w:p>
    <w:p w:rsidR="002B1C74" w:rsidRPr="00EA7E43" w:rsidRDefault="00D9433C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Наблюдается устойчивая тенденция роста основных показателей </w:t>
      </w:r>
      <w:r w:rsidR="00EA7E43">
        <w:rPr>
          <w:color w:val="000000"/>
          <w:sz w:val="28"/>
        </w:rPr>
        <w:t xml:space="preserve">                       </w:t>
      </w:r>
      <w:r w:rsidRPr="00EA7E43">
        <w:rPr>
          <w:color w:val="000000"/>
          <w:sz w:val="28"/>
        </w:rPr>
        <w:t xml:space="preserve">аварийности – количество </w:t>
      </w:r>
      <w:r w:rsidR="00E850AE" w:rsidRPr="00EA7E43">
        <w:rPr>
          <w:color w:val="000000"/>
          <w:sz w:val="28"/>
        </w:rPr>
        <w:t xml:space="preserve">дорожно-транспортных происшествий (далее – </w:t>
      </w:r>
      <w:r w:rsidRPr="00EA7E43">
        <w:rPr>
          <w:color w:val="000000"/>
          <w:sz w:val="28"/>
        </w:rPr>
        <w:t>ДТП</w:t>
      </w:r>
      <w:r w:rsidR="00E850AE" w:rsidRPr="00EA7E43">
        <w:rPr>
          <w:color w:val="000000"/>
          <w:sz w:val="28"/>
        </w:rPr>
        <w:t>)</w:t>
      </w:r>
      <w:r w:rsidRPr="00EA7E43">
        <w:rPr>
          <w:color w:val="000000"/>
          <w:sz w:val="28"/>
        </w:rPr>
        <w:t xml:space="preserve">, количество погибших и пострадавших в них людей. </w:t>
      </w:r>
      <w:r w:rsidR="002B1C74" w:rsidRPr="00EA7E43">
        <w:rPr>
          <w:color w:val="000000"/>
          <w:sz w:val="28"/>
        </w:rPr>
        <w:t xml:space="preserve">Около трех четвертей всех ДТП связано с нарушениями водителями транспортных средств </w:t>
      </w:r>
      <w:r w:rsidRPr="00EA7E43">
        <w:rPr>
          <w:color w:val="000000"/>
          <w:sz w:val="28"/>
        </w:rPr>
        <w:t>п</w:t>
      </w:r>
      <w:r w:rsidR="002B1C74" w:rsidRPr="00EA7E43">
        <w:rPr>
          <w:color w:val="000000"/>
          <w:sz w:val="28"/>
        </w:rPr>
        <w:t xml:space="preserve">равил дорожного движения, каждое третье ДТП совершается по вине пешеходов. </w:t>
      </w:r>
    </w:p>
    <w:p w:rsidR="002B1C74" w:rsidRPr="00EA7E43" w:rsidRDefault="002B1C7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Сложная аварийная ситуация и наличие тенденций к дальнейшему ее ухудшению во многом объясняются следующими причинами:</w:t>
      </w:r>
    </w:p>
    <w:p w:rsidR="002B1C74" w:rsidRPr="00EA7E43" w:rsidRDefault="002B1C74" w:rsidP="00EA7E43">
      <w:pPr>
        <w:numPr>
          <w:ilvl w:val="1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Недостатками улично-дорожной сети (в том числе по ширине дорожной части, состоянию ее покрытия и наличию дорожных ограждений).</w:t>
      </w:r>
    </w:p>
    <w:p w:rsidR="002B1C74" w:rsidRPr="00EA7E43" w:rsidRDefault="002B1C74" w:rsidP="00EA7E43">
      <w:pPr>
        <w:numPr>
          <w:ilvl w:val="1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Наличие перекрестков и транспортных развязок, не оборудованных светофорными объектами.</w:t>
      </w:r>
    </w:p>
    <w:p w:rsidR="002B1C74" w:rsidRPr="00EA7E43" w:rsidRDefault="002B1C74" w:rsidP="00EA7E43">
      <w:pPr>
        <w:numPr>
          <w:ilvl w:val="1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Недостаточное количество объектов принудительного ограничения скоростного режима – искусственных неровностей.</w:t>
      </w:r>
    </w:p>
    <w:p w:rsidR="002B1C74" w:rsidRPr="00EA7E43" w:rsidRDefault="002B1C74" w:rsidP="00EA7E43">
      <w:pPr>
        <w:numPr>
          <w:ilvl w:val="1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Отсутствия необходимого количества пешеходных переходов.</w:t>
      </w:r>
    </w:p>
    <w:p w:rsidR="002B1C74" w:rsidRPr="00EA7E43" w:rsidRDefault="002B1C74" w:rsidP="00EA7E43">
      <w:pPr>
        <w:numPr>
          <w:ilvl w:val="1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Достаточно высокая плотность магистральной сети.</w:t>
      </w:r>
    </w:p>
    <w:p w:rsidR="00D91C84" w:rsidRPr="00EA7E43" w:rsidRDefault="00D91C84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Проблемы, связанные с состоянием автомобильных дорог, тротуаров, пешеходных дорожек, ливневых стоков, носят текущий характер, так как обусловлены климатическими  условиями местности и могут привести к ситуациям, угрожающим жизни и здоровью участников дорожного движения.  Для обеспечения сохранности  и развития авто</w:t>
      </w:r>
      <w:r w:rsidR="00D9433C" w:rsidRPr="00EA7E43">
        <w:rPr>
          <w:color w:val="000000"/>
          <w:sz w:val="28"/>
        </w:rPr>
        <w:t xml:space="preserve">мобильных </w:t>
      </w:r>
      <w:r w:rsidRPr="00EA7E43">
        <w:rPr>
          <w:color w:val="000000"/>
          <w:sz w:val="28"/>
        </w:rPr>
        <w:t xml:space="preserve">дорог, улучшения их состояния необходимы мероприятия по капитальному,  текущему ремонту и содержанию </w:t>
      </w:r>
      <w:r w:rsidR="00D9433C" w:rsidRPr="00EA7E43">
        <w:rPr>
          <w:color w:val="000000"/>
          <w:sz w:val="28"/>
        </w:rPr>
        <w:t xml:space="preserve">автомобильных </w:t>
      </w:r>
      <w:r w:rsidRPr="00EA7E43">
        <w:rPr>
          <w:color w:val="000000"/>
          <w:sz w:val="28"/>
        </w:rPr>
        <w:t xml:space="preserve">дорог общего пользования, что приведет к обеспечению постоянного функционирования и сохранности дорог общего </w:t>
      </w:r>
      <w:r w:rsidRPr="00EA7E43">
        <w:rPr>
          <w:color w:val="000000"/>
          <w:sz w:val="28"/>
        </w:rPr>
        <w:lastRenderedPageBreak/>
        <w:t xml:space="preserve">пользования, бесперебойного и безопасного движения на них. Основной задачей в содержании </w:t>
      </w:r>
      <w:r w:rsidR="00D9433C" w:rsidRPr="00EA7E43">
        <w:rPr>
          <w:color w:val="000000"/>
          <w:sz w:val="28"/>
        </w:rPr>
        <w:t xml:space="preserve">автомобильных </w:t>
      </w:r>
      <w:r w:rsidRPr="00EA7E43">
        <w:rPr>
          <w:color w:val="000000"/>
          <w:sz w:val="28"/>
        </w:rPr>
        <w:t>дорог является уборка улиц от загрязнений, скапливающихся на покрытии дорог. Эти загрязнения являются источником повышенной загрязненности воздуха, а при неблагоприятных  природно-климатических условиях способствуют возникновению наледи, что сказывается на безопасности дорожного движения.</w:t>
      </w:r>
    </w:p>
    <w:p w:rsidR="00D91C84" w:rsidRPr="00EA7E43" w:rsidRDefault="00D91C84" w:rsidP="00EA7E43">
      <w:pPr>
        <w:tabs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Основными операциями по летней уборке улиц является подметание, поливка проезжей части дороги, очистка прибордюрной зоны, уборка мусора. При зимней уборке дорог и улиц должно обеспечиваться три основных вида работ</w:t>
      </w:r>
      <w:r w:rsidR="00D9433C" w:rsidRPr="00EA7E43">
        <w:rPr>
          <w:color w:val="000000"/>
          <w:sz w:val="28"/>
        </w:rPr>
        <w:t>:</w:t>
      </w:r>
      <w:r w:rsidRPr="00EA7E43">
        <w:rPr>
          <w:color w:val="000000"/>
          <w:sz w:val="28"/>
        </w:rPr>
        <w:t xml:space="preserve"> борьба со снежно-ледяными  образованиями путем своевременного удаления свежевыпавшего, а также уплотненного  снега; погрузка и вывоз снега и скола; посыпка дорог, направл</w:t>
      </w:r>
      <w:r w:rsidR="003D2BDC" w:rsidRPr="00EA7E43">
        <w:rPr>
          <w:color w:val="000000"/>
          <w:sz w:val="28"/>
        </w:rPr>
        <w:t>енная на борьбу с гололедом.</w:t>
      </w:r>
    </w:p>
    <w:p w:rsidR="008D757F" w:rsidRDefault="008D757F" w:rsidP="00EA7E43">
      <w:pPr>
        <w:tabs>
          <w:tab w:val="left" w:pos="1134"/>
        </w:tabs>
        <w:ind w:firstLine="709"/>
        <w:rPr>
          <w:color w:val="000000"/>
          <w:sz w:val="28"/>
        </w:rPr>
      </w:pPr>
    </w:p>
    <w:p w:rsidR="00EA7E43" w:rsidRPr="00EA7E43" w:rsidRDefault="00EA7E43" w:rsidP="00EA7E43">
      <w:pPr>
        <w:tabs>
          <w:tab w:val="left" w:pos="1134"/>
        </w:tabs>
        <w:ind w:firstLine="709"/>
        <w:rPr>
          <w:color w:val="000000"/>
          <w:sz w:val="28"/>
        </w:rPr>
      </w:pPr>
    </w:p>
    <w:p w:rsidR="00FA7661" w:rsidRPr="00EA7E43" w:rsidRDefault="002F4BD0" w:rsidP="00EA7E43">
      <w:pPr>
        <w:pStyle w:val="22"/>
        <w:tabs>
          <w:tab w:val="left" w:pos="1134"/>
        </w:tabs>
        <w:suppressAutoHyphens/>
        <w:ind w:firstLine="709"/>
        <w:jc w:val="center"/>
        <w:rPr>
          <w:color w:val="000000"/>
          <w:sz w:val="28"/>
          <w:szCs w:val="24"/>
        </w:rPr>
      </w:pPr>
      <w:r w:rsidRPr="00EA7E43">
        <w:rPr>
          <w:color w:val="000000"/>
          <w:sz w:val="28"/>
          <w:szCs w:val="24"/>
        </w:rPr>
        <w:t xml:space="preserve">Раздел </w:t>
      </w:r>
      <w:r w:rsidR="009D317C" w:rsidRPr="00EA7E43">
        <w:rPr>
          <w:color w:val="000000"/>
          <w:sz w:val="28"/>
          <w:szCs w:val="24"/>
          <w:lang w:val="en-US"/>
        </w:rPr>
        <w:t>III</w:t>
      </w:r>
      <w:r w:rsidR="009D317C" w:rsidRPr="00EA7E43">
        <w:rPr>
          <w:color w:val="000000"/>
          <w:sz w:val="28"/>
          <w:szCs w:val="24"/>
        </w:rPr>
        <w:t xml:space="preserve">. </w:t>
      </w:r>
      <w:r w:rsidR="00FA7661" w:rsidRPr="00EA7E43">
        <w:rPr>
          <w:color w:val="000000"/>
          <w:sz w:val="28"/>
          <w:szCs w:val="24"/>
        </w:rPr>
        <w:t xml:space="preserve">Приоритеты муниципальной политики в сфере реализации подпрограммы, цели, задачи и показатели достижения целей и решения задач, </w:t>
      </w:r>
    </w:p>
    <w:p w:rsidR="00FA7661" w:rsidRPr="00EA7E43" w:rsidRDefault="00FA7661" w:rsidP="00EA7E43">
      <w:pPr>
        <w:pStyle w:val="22"/>
        <w:tabs>
          <w:tab w:val="left" w:pos="1134"/>
        </w:tabs>
        <w:suppressAutoHyphens/>
        <w:ind w:firstLine="709"/>
        <w:jc w:val="center"/>
        <w:rPr>
          <w:color w:val="000000"/>
          <w:sz w:val="28"/>
          <w:szCs w:val="24"/>
        </w:rPr>
      </w:pPr>
      <w:r w:rsidRPr="00EA7E43">
        <w:rPr>
          <w:color w:val="000000"/>
          <w:sz w:val="28"/>
          <w:szCs w:val="24"/>
        </w:rPr>
        <w:t xml:space="preserve">описание основных ожидаемых конечных результатов подпрограммы, </w:t>
      </w:r>
    </w:p>
    <w:p w:rsidR="009D317C" w:rsidRPr="00EA7E43" w:rsidRDefault="00FA7661" w:rsidP="00EA7E43">
      <w:pPr>
        <w:pStyle w:val="22"/>
        <w:tabs>
          <w:tab w:val="left" w:pos="1134"/>
        </w:tabs>
        <w:suppressAutoHyphens/>
        <w:ind w:firstLine="709"/>
        <w:jc w:val="center"/>
        <w:rPr>
          <w:color w:val="000000"/>
          <w:sz w:val="28"/>
          <w:szCs w:val="24"/>
        </w:rPr>
      </w:pPr>
      <w:r w:rsidRPr="00EA7E43">
        <w:rPr>
          <w:color w:val="000000"/>
          <w:sz w:val="28"/>
          <w:szCs w:val="24"/>
        </w:rPr>
        <w:t>сроков и контрольных этапов реализации подпрограммы</w:t>
      </w:r>
    </w:p>
    <w:p w:rsidR="009D317C" w:rsidRPr="00EA7E43" w:rsidRDefault="009D317C" w:rsidP="00EA7E43">
      <w:pPr>
        <w:tabs>
          <w:tab w:val="left" w:pos="1134"/>
        </w:tabs>
        <w:ind w:firstLine="709"/>
        <w:jc w:val="center"/>
        <w:rPr>
          <w:color w:val="000000"/>
          <w:sz w:val="28"/>
        </w:rPr>
      </w:pPr>
    </w:p>
    <w:p w:rsidR="002F4BD0" w:rsidRPr="00EA7E43" w:rsidRDefault="002F4BD0" w:rsidP="00EA7E43">
      <w:pPr>
        <w:pStyle w:val="22"/>
        <w:tabs>
          <w:tab w:val="left" w:pos="1134"/>
        </w:tabs>
        <w:suppressAutoHyphens/>
        <w:ind w:firstLine="709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Основными </w:t>
      </w:r>
      <w:r w:rsidR="00164EDB" w:rsidRPr="00EA7E43">
        <w:rPr>
          <w:color w:val="000000"/>
          <w:sz w:val="28"/>
        </w:rPr>
        <w:t>цел</w:t>
      </w:r>
      <w:r w:rsidRPr="00EA7E43">
        <w:rPr>
          <w:color w:val="000000"/>
          <w:sz w:val="28"/>
        </w:rPr>
        <w:t>ями</w:t>
      </w:r>
      <w:r w:rsidR="00164EDB" w:rsidRPr="00EA7E43">
        <w:rPr>
          <w:color w:val="000000"/>
          <w:sz w:val="28"/>
        </w:rPr>
        <w:t xml:space="preserve"> П</w:t>
      </w:r>
      <w:r w:rsidRPr="00EA7E43">
        <w:rPr>
          <w:color w:val="000000"/>
          <w:sz w:val="28"/>
        </w:rPr>
        <w:t>одп</w:t>
      </w:r>
      <w:r w:rsidR="00164EDB" w:rsidRPr="00EA7E43">
        <w:rPr>
          <w:color w:val="000000"/>
          <w:sz w:val="28"/>
        </w:rPr>
        <w:t xml:space="preserve">рограммы </w:t>
      </w:r>
      <w:r w:rsidR="00E850AE" w:rsidRPr="00EA7E43">
        <w:rPr>
          <w:color w:val="000000"/>
          <w:sz w:val="28"/>
          <w:szCs w:val="24"/>
        </w:rPr>
        <w:t>«Организация дорожной деятельности и повышения безопасности дорожного движения в Златоустовском городском округе» (да</w:t>
      </w:r>
      <w:r w:rsidR="00AE191F" w:rsidRPr="00EA7E43">
        <w:rPr>
          <w:color w:val="000000"/>
          <w:sz w:val="28"/>
          <w:szCs w:val="24"/>
        </w:rPr>
        <w:t>лее – Подпрограмма</w:t>
      </w:r>
      <w:r w:rsidR="00E850AE" w:rsidRPr="00EA7E43">
        <w:rPr>
          <w:color w:val="000000"/>
          <w:sz w:val="28"/>
          <w:szCs w:val="24"/>
        </w:rPr>
        <w:t>)</w:t>
      </w:r>
      <w:r w:rsidR="00E850AE" w:rsidRPr="00EA7E43">
        <w:rPr>
          <w:color w:val="000000"/>
          <w:sz w:val="28"/>
        </w:rPr>
        <w:t xml:space="preserve"> </w:t>
      </w:r>
      <w:r w:rsidR="00164EDB" w:rsidRPr="00EA7E43">
        <w:rPr>
          <w:color w:val="000000"/>
          <w:sz w:val="28"/>
        </w:rPr>
        <w:t>явля</w:t>
      </w:r>
      <w:r w:rsidRPr="00EA7E43">
        <w:rPr>
          <w:color w:val="000000"/>
          <w:sz w:val="28"/>
        </w:rPr>
        <w:t>ются:</w:t>
      </w:r>
    </w:p>
    <w:p w:rsidR="00113F3C" w:rsidRPr="00EA7E43" w:rsidRDefault="00113F3C" w:rsidP="00EA7E43">
      <w:pPr>
        <w:numPr>
          <w:ilvl w:val="0"/>
          <w:numId w:val="6"/>
        </w:numPr>
        <w:tabs>
          <w:tab w:val="left" w:pos="254"/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Создание комфортной среды проживания в населенных пунктах, расположенных на территории </w:t>
      </w:r>
      <w:r w:rsidR="008D42F5" w:rsidRPr="00EA7E43">
        <w:rPr>
          <w:color w:val="000000"/>
          <w:sz w:val="28"/>
        </w:rPr>
        <w:t>округа</w:t>
      </w:r>
      <w:r w:rsidRPr="00EA7E43">
        <w:rPr>
          <w:color w:val="000000"/>
          <w:sz w:val="28"/>
        </w:rPr>
        <w:t xml:space="preserve">. </w:t>
      </w:r>
    </w:p>
    <w:p w:rsidR="00113F3C" w:rsidRPr="00EA7E43" w:rsidRDefault="00113F3C" w:rsidP="00EA7E43">
      <w:pPr>
        <w:numPr>
          <w:ilvl w:val="0"/>
          <w:numId w:val="6"/>
        </w:numPr>
        <w:tabs>
          <w:tab w:val="left" w:pos="254"/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pacing w:val="-2"/>
          <w:kern w:val="24"/>
          <w:sz w:val="28"/>
        </w:rPr>
      </w:pPr>
      <w:r w:rsidRPr="00EA7E43">
        <w:rPr>
          <w:color w:val="000000"/>
          <w:spacing w:val="-2"/>
          <w:kern w:val="24"/>
          <w:sz w:val="28"/>
        </w:rPr>
        <w:t xml:space="preserve">Приведение </w:t>
      </w:r>
      <w:r w:rsidR="008D42F5" w:rsidRPr="00EA7E43">
        <w:rPr>
          <w:color w:val="000000"/>
          <w:spacing w:val="-2"/>
          <w:kern w:val="24"/>
          <w:sz w:val="28"/>
        </w:rPr>
        <w:t xml:space="preserve">автомобильных </w:t>
      </w:r>
      <w:r w:rsidRPr="00EA7E43">
        <w:rPr>
          <w:color w:val="000000"/>
          <w:spacing w:val="-2"/>
          <w:kern w:val="24"/>
          <w:sz w:val="28"/>
        </w:rPr>
        <w:t xml:space="preserve">дорог </w:t>
      </w:r>
      <w:r w:rsidR="008D42F5" w:rsidRPr="00EA7E43">
        <w:rPr>
          <w:color w:val="000000"/>
          <w:spacing w:val="-2"/>
          <w:kern w:val="24"/>
          <w:sz w:val="28"/>
        </w:rPr>
        <w:t>округа</w:t>
      </w:r>
      <w:r w:rsidRPr="00EA7E43">
        <w:rPr>
          <w:color w:val="000000"/>
          <w:spacing w:val="-2"/>
          <w:kern w:val="24"/>
          <w:sz w:val="28"/>
        </w:rPr>
        <w:t xml:space="preserve"> в соответствии  с требованиями, предъявляемыми к уровню дорожного покрытия общего пользования в соответствии с требованиями СНиП 2.05.02-85 «Автомобильные дороги», СНиП 2.07.01-89 «Градостроительство».</w:t>
      </w:r>
    </w:p>
    <w:p w:rsidR="00113F3C" w:rsidRPr="00EA7E43" w:rsidRDefault="00113F3C" w:rsidP="00EA7E43">
      <w:pPr>
        <w:numPr>
          <w:ilvl w:val="0"/>
          <w:numId w:val="6"/>
        </w:numPr>
        <w:tabs>
          <w:tab w:val="left" w:pos="254"/>
          <w:tab w:val="left" w:pos="851"/>
          <w:tab w:val="left" w:pos="1134"/>
        </w:tabs>
        <w:snapToGrid w:val="0"/>
        <w:ind w:left="0" w:firstLine="709"/>
        <w:jc w:val="both"/>
        <w:rPr>
          <w:color w:val="000000"/>
          <w:spacing w:val="-2"/>
          <w:kern w:val="24"/>
          <w:sz w:val="28"/>
        </w:rPr>
      </w:pPr>
      <w:r w:rsidRPr="00EA7E43">
        <w:rPr>
          <w:color w:val="000000"/>
          <w:sz w:val="28"/>
        </w:rPr>
        <w:t xml:space="preserve">Создание условий для обеспечения охраны жизни и здоровья граждан, их законных прав на безопасные условия движения на </w:t>
      </w:r>
      <w:r w:rsidR="00C2601D" w:rsidRPr="00EA7E43">
        <w:rPr>
          <w:color w:val="000000"/>
          <w:sz w:val="28"/>
        </w:rPr>
        <w:t xml:space="preserve">автомобильных </w:t>
      </w:r>
      <w:r w:rsidRPr="00EA7E43">
        <w:rPr>
          <w:color w:val="000000"/>
          <w:sz w:val="28"/>
        </w:rPr>
        <w:t xml:space="preserve">дорогах </w:t>
      </w:r>
      <w:r w:rsidR="00C2601D" w:rsidRPr="00EA7E43">
        <w:rPr>
          <w:color w:val="000000"/>
          <w:sz w:val="28"/>
        </w:rPr>
        <w:t>округа</w:t>
      </w:r>
      <w:r w:rsidRPr="00EA7E43">
        <w:rPr>
          <w:color w:val="000000"/>
          <w:sz w:val="28"/>
        </w:rPr>
        <w:t>.</w:t>
      </w:r>
    </w:p>
    <w:p w:rsidR="00164EDB" w:rsidRPr="00EA7E43" w:rsidRDefault="005E215E" w:rsidP="00EA7E43">
      <w:pPr>
        <w:tabs>
          <w:tab w:val="left" w:pos="254"/>
          <w:tab w:val="left" w:pos="851"/>
          <w:tab w:val="left" w:pos="1134"/>
        </w:tabs>
        <w:snapToGrid w:val="0"/>
        <w:ind w:firstLine="709"/>
        <w:jc w:val="both"/>
        <w:rPr>
          <w:color w:val="000000"/>
          <w:spacing w:val="-2"/>
          <w:kern w:val="24"/>
          <w:sz w:val="28"/>
        </w:rPr>
      </w:pPr>
      <w:r w:rsidRPr="00EA7E43">
        <w:rPr>
          <w:color w:val="000000"/>
          <w:sz w:val="28"/>
        </w:rPr>
        <w:t>Подп</w:t>
      </w:r>
      <w:r w:rsidR="00164EDB" w:rsidRPr="00EA7E43">
        <w:rPr>
          <w:color w:val="000000"/>
          <w:sz w:val="28"/>
        </w:rPr>
        <w:t xml:space="preserve">рограмма предусматривает решение </w:t>
      </w:r>
      <w:r w:rsidRPr="00EA7E43">
        <w:rPr>
          <w:color w:val="000000"/>
          <w:sz w:val="28"/>
        </w:rPr>
        <w:t>следующих</w:t>
      </w:r>
      <w:r w:rsidR="00D3401A" w:rsidRPr="00EA7E43">
        <w:rPr>
          <w:color w:val="000000"/>
          <w:sz w:val="28"/>
        </w:rPr>
        <w:t xml:space="preserve"> </w:t>
      </w:r>
      <w:r w:rsidR="00164EDB" w:rsidRPr="00EA7E43">
        <w:rPr>
          <w:color w:val="000000"/>
          <w:sz w:val="28"/>
        </w:rPr>
        <w:t>задач:</w:t>
      </w:r>
    </w:p>
    <w:p w:rsidR="00113F3C" w:rsidRPr="00EA7E43" w:rsidRDefault="00113F3C" w:rsidP="00EA7E43">
      <w:pPr>
        <w:numPr>
          <w:ilvl w:val="0"/>
          <w:numId w:val="7"/>
        </w:numPr>
        <w:tabs>
          <w:tab w:val="left" w:pos="0"/>
          <w:tab w:val="left" w:pos="284"/>
          <w:tab w:val="left" w:pos="851"/>
          <w:tab w:val="left" w:pos="1134"/>
        </w:tabs>
        <w:ind w:left="0" w:firstLine="709"/>
        <w:jc w:val="both"/>
        <w:rPr>
          <w:bCs/>
          <w:iCs/>
          <w:color w:val="000000"/>
          <w:sz w:val="28"/>
        </w:rPr>
      </w:pPr>
      <w:r w:rsidRPr="00EA7E43">
        <w:rPr>
          <w:bCs/>
          <w:iCs/>
          <w:color w:val="000000"/>
          <w:sz w:val="28"/>
        </w:rPr>
        <w:t>Повышение эффективности управления безопасностью дорожного движения.</w:t>
      </w:r>
    </w:p>
    <w:p w:rsidR="00113F3C" w:rsidRPr="00EA7E43" w:rsidRDefault="00113F3C" w:rsidP="00EA7E43">
      <w:pPr>
        <w:numPr>
          <w:ilvl w:val="0"/>
          <w:numId w:val="7"/>
        </w:numPr>
        <w:tabs>
          <w:tab w:val="left" w:pos="0"/>
          <w:tab w:val="left" w:pos="284"/>
          <w:tab w:val="left" w:pos="851"/>
          <w:tab w:val="left" w:pos="1134"/>
        </w:tabs>
        <w:ind w:left="0" w:firstLine="709"/>
        <w:jc w:val="both"/>
        <w:rPr>
          <w:bCs/>
          <w:iCs/>
          <w:color w:val="000000"/>
          <w:sz w:val="28"/>
        </w:rPr>
      </w:pPr>
      <w:r w:rsidRPr="00EA7E43">
        <w:rPr>
          <w:bCs/>
          <w:iCs/>
          <w:color w:val="000000"/>
          <w:sz w:val="28"/>
        </w:rPr>
        <w:t>Ликвидация и профилактика возникновения очагов аварийности.</w:t>
      </w:r>
    </w:p>
    <w:p w:rsidR="00113F3C" w:rsidRPr="00EA7E43" w:rsidRDefault="00113F3C" w:rsidP="00EA7E43">
      <w:pPr>
        <w:numPr>
          <w:ilvl w:val="0"/>
          <w:numId w:val="7"/>
        </w:numPr>
        <w:tabs>
          <w:tab w:val="left" w:pos="0"/>
          <w:tab w:val="left" w:pos="284"/>
          <w:tab w:val="left" w:pos="851"/>
          <w:tab w:val="left" w:pos="1134"/>
        </w:tabs>
        <w:ind w:left="0" w:firstLine="709"/>
        <w:jc w:val="both"/>
        <w:rPr>
          <w:bCs/>
          <w:iCs/>
          <w:color w:val="000000"/>
          <w:sz w:val="28"/>
        </w:rPr>
      </w:pPr>
      <w:r w:rsidRPr="00EA7E43">
        <w:rPr>
          <w:bCs/>
          <w:iCs/>
          <w:color w:val="000000"/>
          <w:sz w:val="28"/>
        </w:rPr>
        <w:t>Обеспечение сохранности и развития автомобильных дорог и пешеходных тротуаров, улучшения их технического состояния.</w:t>
      </w:r>
    </w:p>
    <w:p w:rsidR="00DF776B" w:rsidRPr="00EA7E43" w:rsidRDefault="00DF776B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Реализация Подпрограммы рассчитана на 2014–201</w:t>
      </w:r>
      <w:r w:rsidR="00FE0656" w:rsidRPr="00EA7E43">
        <w:rPr>
          <w:color w:val="000000"/>
          <w:sz w:val="28"/>
        </w:rPr>
        <w:t>7</w:t>
      </w:r>
      <w:r w:rsidRPr="00EA7E43">
        <w:rPr>
          <w:color w:val="000000"/>
          <w:sz w:val="28"/>
        </w:rPr>
        <w:t xml:space="preserve"> годы</w:t>
      </w:r>
      <w:r w:rsidR="00F9697F" w:rsidRPr="00EA7E43">
        <w:rPr>
          <w:color w:val="000000"/>
          <w:sz w:val="28"/>
        </w:rPr>
        <w:t>.</w:t>
      </w:r>
      <w:r w:rsidRPr="00EA7E43">
        <w:rPr>
          <w:color w:val="000000"/>
          <w:sz w:val="28"/>
        </w:rPr>
        <w:t xml:space="preserve"> </w:t>
      </w:r>
    </w:p>
    <w:p w:rsidR="00CB13CA" w:rsidRDefault="00C27BA9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В результате реализации Подпрограммы планируется достигнуть следующих целевых индикаторов</w:t>
      </w:r>
      <w:r w:rsidR="009274FB" w:rsidRPr="00EA7E43">
        <w:rPr>
          <w:color w:val="000000"/>
          <w:sz w:val="28"/>
        </w:rPr>
        <w:t xml:space="preserve"> (Таблица 1)</w:t>
      </w:r>
      <w:r w:rsidRPr="00EA7E43">
        <w:rPr>
          <w:color w:val="000000"/>
          <w:sz w:val="28"/>
        </w:rPr>
        <w:t>:</w:t>
      </w:r>
    </w:p>
    <w:p w:rsidR="00EA7E43" w:rsidRPr="00EA7E43" w:rsidRDefault="00EA7E43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</w:p>
    <w:p w:rsidR="009274FB" w:rsidRPr="00EA7E43" w:rsidRDefault="00BF337F" w:rsidP="009274FB">
      <w:pPr>
        <w:ind w:firstLine="709"/>
        <w:jc w:val="right"/>
        <w:rPr>
          <w:color w:val="000000"/>
          <w:sz w:val="28"/>
        </w:rPr>
      </w:pPr>
      <w:r w:rsidRPr="00EA7E43">
        <w:rPr>
          <w:color w:val="000000"/>
          <w:sz w:val="28"/>
        </w:rPr>
        <w:t>Т</w:t>
      </w:r>
      <w:r w:rsidR="009274FB" w:rsidRPr="00EA7E43">
        <w:rPr>
          <w:color w:val="000000"/>
          <w:sz w:val="28"/>
        </w:rPr>
        <w:t>аблица 1</w:t>
      </w:r>
    </w:p>
    <w:tbl>
      <w:tblPr>
        <w:tblW w:w="10438" w:type="dxa"/>
        <w:jc w:val="center"/>
        <w:tblInd w:w="36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94"/>
        <w:gridCol w:w="846"/>
        <w:gridCol w:w="871"/>
        <w:gridCol w:w="709"/>
        <w:gridCol w:w="709"/>
        <w:gridCol w:w="709"/>
      </w:tblGrid>
      <w:tr w:rsidR="00FE0656" w:rsidRPr="00E94F27" w:rsidTr="00FE0656">
        <w:trPr>
          <w:trHeight w:val="270"/>
          <w:jc w:val="center"/>
        </w:trPr>
        <w:tc>
          <w:tcPr>
            <w:tcW w:w="6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snapToGrid w:val="0"/>
              <w:ind w:left="-97" w:right="-8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Наименование индикатора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ind w:lef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Показатели по годам</w:t>
            </w:r>
          </w:p>
        </w:tc>
      </w:tr>
      <w:tr w:rsidR="00FE0656" w:rsidRPr="00E94F27" w:rsidTr="00FE0656">
        <w:trPr>
          <w:trHeight w:val="149"/>
          <w:jc w:val="center"/>
        </w:trPr>
        <w:tc>
          <w:tcPr>
            <w:tcW w:w="65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snapToGrid w:val="0"/>
              <w:ind w:left="-97" w:right="-8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ind w:left="-68"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ind w:left="-68"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ind w:left="-68"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656" w:rsidRPr="00E94F27" w:rsidRDefault="00FE0656" w:rsidP="006A5051">
            <w:pPr>
              <w:pStyle w:val="af3"/>
              <w:tabs>
                <w:tab w:val="left" w:pos="248"/>
              </w:tabs>
              <w:ind w:left="-68"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F2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</w:tr>
      <w:tr w:rsidR="00D14A87" w:rsidRPr="00E94F27" w:rsidTr="006A5051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Содержание автомобильных дорог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дни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Содержание инженерных сооружений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дни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lastRenderedPageBreak/>
              <w:t>Отремонтированные автомобильные дороги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м</w:t>
            </w:r>
            <w:r w:rsidRPr="00E94F27">
              <w:rPr>
                <w:color w:val="000000"/>
                <w:vertAlign w:val="superscript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ind w:left="-54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123 646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Доля отремонтированных автомобильных дорог общего пользования местного значения с твердым покрытием, в отношении которых произведен ремонт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%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Количество обслуживаемых светофорных объектов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Количество обслуживаемых световозвращающих знаков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1 210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Количество замененных световозвращающих знаков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Количество смонтированных световозвращающих знаков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A7E43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Количество установленных пешеходных ограждений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зв.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A7E43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268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Протяженность нанесенной разметки (продольная)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км.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62,61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A7E43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80,14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Объем нанесенной разметки (пешеходный переход)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  <w:vertAlign w:val="superscript"/>
              </w:rPr>
            </w:pPr>
            <w:r w:rsidRPr="00E94F27">
              <w:rPr>
                <w:color w:val="000000"/>
              </w:rPr>
              <w:t>м</w:t>
            </w:r>
            <w:r w:rsidRPr="00E94F27">
              <w:rPr>
                <w:color w:val="000000"/>
                <w:vertAlign w:val="superscript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3257,7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A7E43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3249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Модернизация светофорных объектов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E94F27"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A7E43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EA7E43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  <w:tr w:rsidR="00D14A87" w:rsidRPr="00E94F27" w:rsidTr="003D2BDC">
        <w:trPr>
          <w:trHeight w:val="30"/>
          <w:jc w:val="center"/>
        </w:trPr>
        <w:tc>
          <w:tcPr>
            <w:tcW w:w="6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 w:rsidRPr="006F5B79">
              <w:rPr>
                <w:color w:val="000000"/>
              </w:rPr>
              <w:t>Количество оборудованных пешеходных переходов возле образовательных учреждений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E94F27" w:rsidRDefault="00D14A87" w:rsidP="006A5051">
            <w:pPr>
              <w:ind w:left="-55" w:right="-55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A87" w:rsidRPr="00D14A87" w:rsidRDefault="00D14A87" w:rsidP="00D14A87">
            <w:pPr>
              <w:ind w:left="-55"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A87" w:rsidRPr="00D14A87" w:rsidRDefault="00D14A87" w:rsidP="00D14A87">
            <w:pPr>
              <w:ind w:right="-55"/>
              <w:jc w:val="center"/>
              <w:rPr>
                <w:color w:val="000000"/>
              </w:rPr>
            </w:pPr>
            <w:r w:rsidRPr="00D14A87">
              <w:rPr>
                <w:color w:val="000000"/>
              </w:rPr>
              <w:t>0</w:t>
            </w:r>
          </w:p>
        </w:tc>
      </w:tr>
    </w:tbl>
    <w:p w:rsidR="00D54F98" w:rsidRDefault="00D54F98" w:rsidP="00EA7E43">
      <w:pPr>
        <w:jc w:val="both"/>
        <w:rPr>
          <w:color w:val="000000"/>
          <w:sz w:val="28"/>
        </w:rPr>
      </w:pPr>
    </w:p>
    <w:p w:rsidR="00EA7E43" w:rsidRPr="00EA7E43" w:rsidRDefault="00EA7E43" w:rsidP="00EA7E43">
      <w:pPr>
        <w:jc w:val="both"/>
        <w:rPr>
          <w:color w:val="000000"/>
          <w:sz w:val="28"/>
        </w:rPr>
      </w:pPr>
    </w:p>
    <w:p w:rsidR="00F9697F" w:rsidRPr="00EA7E43" w:rsidRDefault="00F9697F" w:rsidP="00EA7E43">
      <w:pPr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Раздел </w:t>
      </w:r>
      <w:r w:rsidRPr="00EA7E43">
        <w:rPr>
          <w:color w:val="000000"/>
          <w:sz w:val="28"/>
          <w:lang w:val="en-US"/>
        </w:rPr>
        <w:t>IV</w:t>
      </w:r>
      <w:r w:rsidRPr="00EA7E43">
        <w:rPr>
          <w:color w:val="000000"/>
          <w:sz w:val="28"/>
        </w:rPr>
        <w:t xml:space="preserve">. </w:t>
      </w:r>
      <w:r w:rsidR="00E850AE" w:rsidRPr="00EA7E43">
        <w:rPr>
          <w:color w:val="000000"/>
          <w:sz w:val="28"/>
        </w:rPr>
        <w:t>Характеристика о</w:t>
      </w:r>
      <w:r w:rsidRPr="00EA7E43">
        <w:rPr>
          <w:color w:val="000000"/>
          <w:sz w:val="28"/>
        </w:rPr>
        <w:t>сновны</w:t>
      </w:r>
      <w:r w:rsidR="00E850AE" w:rsidRPr="00EA7E43">
        <w:rPr>
          <w:color w:val="000000"/>
          <w:sz w:val="28"/>
        </w:rPr>
        <w:t>х</w:t>
      </w:r>
      <w:r w:rsidRPr="00EA7E43">
        <w:rPr>
          <w:color w:val="000000"/>
          <w:sz w:val="28"/>
        </w:rPr>
        <w:t xml:space="preserve"> мероприяти</w:t>
      </w:r>
      <w:r w:rsidR="00E850AE" w:rsidRPr="00EA7E43">
        <w:rPr>
          <w:color w:val="000000"/>
          <w:sz w:val="28"/>
        </w:rPr>
        <w:t>й</w:t>
      </w:r>
      <w:r w:rsidRPr="00EA7E43">
        <w:rPr>
          <w:color w:val="000000"/>
          <w:sz w:val="28"/>
        </w:rPr>
        <w:t xml:space="preserve"> Подпрограммы</w:t>
      </w:r>
    </w:p>
    <w:p w:rsidR="00F9697F" w:rsidRPr="00EA7E43" w:rsidRDefault="00F9697F" w:rsidP="00EA7E43">
      <w:pPr>
        <w:ind w:firstLine="709"/>
        <w:jc w:val="center"/>
        <w:rPr>
          <w:color w:val="000000"/>
          <w:sz w:val="28"/>
        </w:rPr>
      </w:pPr>
    </w:p>
    <w:p w:rsidR="00E850AE" w:rsidRPr="00EA7E43" w:rsidRDefault="00E850AE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Перечень основных мероприятий Подпрограммы представлен в приложении 2 к Подпрограмме.</w:t>
      </w:r>
    </w:p>
    <w:p w:rsidR="00F9697F" w:rsidRPr="00EA7E43" w:rsidRDefault="00F9697F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Мероприятия реализуются по следующим направлениям:</w:t>
      </w:r>
    </w:p>
    <w:p w:rsidR="00F9697F" w:rsidRPr="00EA7E43" w:rsidRDefault="003D2BDC" w:rsidP="00EA7E43">
      <w:pPr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Ямочный ремонт и текущ</w:t>
      </w:r>
      <w:r w:rsidR="00F9697F" w:rsidRPr="00EA7E43">
        <w:rPr>
          <w:color w:val="000000"/>
          <w:sz w:val="28"/>
        </w:rPr>
        <w:t>й ремонт автомобильных дорог округа.</w:t>
      </w:r>
    </w:p>
    <w:p w:rsidR="00F9697F" w:rsidRPr="00EA7E43" w:rsidRDefault="00F9697F" w:rsidP="00EA7E43">
      <w:pPr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Содержание автомобильных дорог и инженерных сооружений округа. </w:t>
      </w:r>
    </w:p>
    <w:p w:rsidR="00F9697F" w:rsidRPr="00EA7E43" w:rsidRDefault="00F9697F" w:rsidP="00EA7E43">
      <w:pPr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Внедрение технических средств регулирования дорожного движения, применение современных инженерных схем организации дорожного движения и технических средств (пешеходных ограждений, дорожных знаков).</w:t>
      </w:r>
    </w:p>
    <w:p w:rsidR="00F9697F" w:rsidRPr="00EA7E43" w:rsidRDefault="00F9697F" w:rsidP="00EA7E43">
      <w:pPr>
        <w:tabs>
          <w:tab w:val="left" w:pos="851"/>
        </w:tabs>
        <w:ind w:left="567" w:firstLine="709"/>
        <w:jc w:val="both"/>
        <w:rPr>
          <w:color w:val="000000"/>
          <w:sz w:val="28"/>
        </w:rPr>
      </w:pPr>
    </w:p>
    <w:p w:rsidR="00EA7E43" w:rsidRPr="00EA7E43" w:rsidRDefault="00EA7E43" w:rsidP="00EA7E43">
      <w:pPr>
        <w:tabs>
          <w:tab w:val="left" w:pos="851"/>
        </w:tabs>
        <w:ind w:left="567" w:firstLine="709"/>
        <w:jc w:val="both"/>
        <w:rPr>
          <w:color w:val="000000"/>
          <w:sz w:val="28"/>
        </w:rPr>
      </w:pPr>
    </w:p>
    <w:p w:rsidR="00E850AE" w:rsidRPr="00EA7E43" w:rsidRDefault="00E850AE" w:rsidP="00EA7E43">
      <w:pPr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Раздел </w:t>
      </w:r>
      <w:r w:rsidRPr="00EA7E43">
        <w:rPr>
          <w:color w:val="000000"/>
          <w:sz w:val="28"/>
          <w:lang w:val="en-US"/>
        </w:rPr>
        <w:t>V</w:t>
      </w:r>
      <w:r w:rsidRPr="00EA7E43">
        <w:rPr>
          <w:color w:val="000000"/>
          <w:sz w:val="28"/>
        </w:rPr>
        <w:t>. Информация об участии предприятий и организаций,</w:t>
      </w:r>
    </w:p>
    <w:p w:rsidR="00E850AE" w:rsidRPr="00EA7E43" w:rsidRDefault="00E850AE" w:rsidP="00EA7E43">
      <w:pPr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>независимо от их организационно-правовой формы собственности,</w:t>
      </w:r>
    </w:p>
    <w:p w:rsidR="00E850AE" w:rsidRPr="00EA7E43" w:rsidRDefault="00E850AE" w:rsidP="00EA7E43">
      <w:pPr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>а также внебюджетных фондов, в реализации Подпрограммы</w:t>
      </w:r>
    </w:p>
    <w:p w:rsidR="00E850AE" w:rsidRPr="00EA7E43" w:rsidRDefault="00E850AE" w:rsidP="00EA7E43">
      <w:pPr>
        <w:ind w:firstLine="709"/>
        <w:jc w:val="center"/>
        <w:rPr>
          <w:color w:val="000000"/>
          <w:sz w:val="28"/>
        </w:rPr>
      </w:pPr>
    </w:p>
    <w:p w:rsidR="00E850AE" w:rsidRPr="00EA7E43" w:rsidRDefault="00E850AE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Предприятия и организации, независимо от их организационно-правовой формы собственности, а также внебюджетные фонды, в реализации Подпрограммы не участвуют.</w:t>
      </w:r>
    </w:p>
    <w:p w:rsidR="00E850AE" w:rsidRPr="00EA7E43" w:rsidRDefault="00E850AE" w:rsidP="00EA7E43">
      <w:pPr>
        <w:ind w:firstLine="709"/>
        <w:jc w:val="center"/>
        <w:rPr>
          <w:color w:val="000000"/>
          <w:sz w:val="28"/>
        </w:rPr>
      </w:pPr>
    </w:p>
    <w:p w:rsidR="00803646" w:rsidRPr="00EA7E43" w:rsidRDefault="00803646" w:rsidP="00EA7E43">
      <w:pPr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Раздел </w:t>
      </w:r>
      <w:r w:rsidRPr="00EA7E43">
        <w:rPr>
          <w:color w:val="000000"/>
          <w:sz w:val="28"/>
          <w:lang w:val="en-US"/>
        </w:rPr>
        <w:t>V</w:t>
      </w:r>
      <w:r w:rsidR="00E850AE" w:rsidRPr="00EA7E43">
        <w:rPr>
          <w:color w:val="000000"/>
          <w:sz w:val="28"/>
          <w:lang w:val="en-US"/>
        </w:rPr>
        <w:t>I</w:t>
      </w:r>
      <w:r w:rsidRPr="00EA7E43">
        <w:rPr>
          <w:color w:val="000000"/>
          <w:sz w:val="28"/>
        </w:rPr>
        <w:t xml:space="preserve">. Обоснование объема финансовых ресурсов, </w:t>
      </w:r>
    </w:p>
    <w:p w:rsidR="00803646" w:rsidRPr="00EA7E43" w:rsidRDefault="00803646" w:rsidP="00EA7E43">
      <w:pPr>
        <w:ind w:firstLine="709"/>
        <w:jc w:val="center"/>
        <w:rPr>
          <w:color w:val="000000"/>
          <w:sz w:val="28"/>
        </w:rPr>
      </w:pPr>
      <w:proofErr w:type="gramStart"/>
      <w:r w:rsidRPr="00EA7E43">
        <w:rPr>
          <w:color w:val="000000"/>
          <w:sz w:val="28"/>
        </w:rPr>
        <w:t>необходимых</w:t>
      </w:r>
      <w:proofErr w:type="gramEnd"/>
      <w:r w:rsidRPr="00EA7E43">
        <w:rPr>
          <w:color w:val="000000"/>
          <w:sz w:val="28"/>
        </w:rPr>
        <w:t xml:space="preserve"> для реализации Подпрограммы</w:t>
      </w:r>
    </w:p>
    <w:p w:rsidR="00803646" w:rsidRPr="00EA7E43" w:rsidRDefault="00803646" w:rsidP="00EA7E43">
      <w:pPr>
        <w:ind w:firstLine="709"/>
        <w:jc w:val="both"/>
        <w:rPr>
          <w:color w:val="000000"/>
          <w:sz w:val="28"/>
        </w:rPr>
      </w:pPr>
    </w:p>
    <w:p w:rsidR="00803646" w:rsidRPr="00EA7E43" w:rsidRDefault="00803646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Оценка объема затрат на реализацию мероприятий Подпрограммы выполняется плановым методом, при котором объем ассигнований на исполнение обязательств определяется на основании проектно-сметной документа</w:t>
      </w:r>
      <w:r w:rsidR="00B06FD6" w:rsidRPr="00EA7E43">
        <w:rPr>
          <w:color w:val="000000"/>
          <w:sz w:val="28"/>
        </w:rPr>
        <w:t>ции с возможной корректировкой.</w:t>
      </w:r>
    </w:p>
    <w:p w:rsidR="006A5051" w:rsidRPr="00EA7E43" w:rsidRDefault="006A5051" w:rsidP="00EA7E43">
      <w:pPr>
        <w:ind w:firstLine="709"/>
        <w:jc w:val="both"/>
        <w:rPr>
          <w:color w:val="000000"/>
          <w:sz w:val="12"/>
          <w:szCs w:val="10"/>
        </w:rPr>
      </w:pPr>
    </w:p>
    <w:p w:rsidR="005E359A" w:rsidRPr="00EA7E43" w:rsidRDefault="005E359A" w:rsidP="00EA7E43">
      <w:pPr>
        <w:ind w:firstLine="709"/>
        <w:jc w:val="both"/>
        <w:rPr>
          <w:color w:val="000000"/>
          <w:spacing w:val="-4"/>
          <w:kern w:val="24"/>
          <w:sz w:val="28"/>
        </w:rPr>
      </w:pPr>
      <w:r w:rsidRPr="00EA7E43">
        <w:rPr>
          <w:color w:val="000000"/>
          <w:sz w:val="28"/>
        </w:rPr>
        <w:t xml:space="preserve">Общий </w:t>
      </w:r>
      <w:r w:rsidRPr="00EA7E43">
        <w:rPr>
          <w:color w:val="000000"/>
          <w:spacing w:val="-4"/>
          <w:kern w:val="24"/>
          <w:sz w:val="28"/>
        </w:rPr>
        <w:t>объем финансирования Подпрограммы – 396 734,43 тыс. руб.: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lastRenderedPageBreak/>
        <w:t>Местный бюджет – 262 395,23 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Областной бюджет – 134 339,20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12"/>
          <w:szCs w:val="10"/>
        </w:rPr>
      </w:pP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Общий объем финансирования в 2014 г. – 211 843,60 тыс. руб.: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Местный бюджет – 77 504,40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Областной бюджет – 134 339,20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12"/>
          <w:szCs w:val="10"/>
        </w:rPr>
      </w:pP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Общий объем финансирования в 2015 г. – 125 358,83 тыс. руб.: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Местный бюджет – 125 358,83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Областной бюджет – 0,00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12"/>
          <w:szCs w:val="10"/>
        </w:rPr>
      </w:pP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Общий объем финансирования в 2016 г. – 32 859,00 тыс. руб.: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Местный бюджет – 32 859,00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Областной бюджет – 0,00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12"/>
          <w:szCs w:val="10"/>
        </w:rPr>
      </w:pP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Общий объем финансирования в 2017 г. – 26 673,00 тыс. руб.:</w:t>
      </w:r>
    </w:p>
    <w:p w:rsidR="005E359A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Местный бюджет – 26 673,00 тыс. руб.</w:t>
      </w:r>
    </w:p>
    <w:p w:rsidR="006A5051" w:rsidRPr="00EA7E43" w:rsidRDefault="005E359A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Областной бюджет – 0,00 тыс. руб.</w:t>
      </w:r>
    </w:p>
    <w:p w:rsidR="005E359A" w:rsidRPr="00EA7E43" w:rsidRDefault="005E359A" w:rsidP="00EA7E43">
      <w:pPr>
        <w:ind w:firstLine="709"/>
        <w:jc w:val="both"/>
        <w:rPr>
          <w:color w:val="000000"/>
          <w:sz w:val="12"/>
          <w:szCs w:val="10"/>
        </w:rPr>
      </w:pPr>
    </w:p>
    <w:p w:rsidR="000C4453" w:rsidRPr="00EA7E43" w:rsidRDefault="000C4453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Оценка эффективности расходования бюджетных сре</w:t>
      </w:r>
      <w:proofErr w:type="gramStart"/>
      <w:r w:rsidRPr="00EA7E43">
        <w:rPr>
          <w:color w:val="000000"/>
          <w:sz w:val="28"/>
        </w:rPr>
        <w:t>дств пр</w:t>
      </w:r>
      <w:proofErr w:type="gramEnd"/>
      <w:r w:rsidRPr="00EA7E43">
        <w:rPr>
          <w:color w:val="000000"/>
          <w:sz w:val="28"/>
        </w:rPr>
        <w:t>оизводится ежегодно на основе использования системы целевых индикаторов (показателей)  характеризующих:</w:t>
      </w:r>
    </w:p>
    <w:p w:rsidR="000C4453" w:rsidRPr="00EA7E43" w:rsidRDefault="000C4453" w:rsidP="00EA7E43">
      <w:pPr>
        <w:numPr>
          <w:ilvl w:val="2"/>
          <w:numId w:val="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Степень достижения целей, решения тактических задач.</w:t>
      </w:r>
    </w:p>
    <w:p w:rsidR="000C4453" w:rsidRPr="00EA7E43" w:rsidRDefault="000C4453" w:rsidP="00EA7E43">
      <w:pPr>
        <w:numPr>
          <w:ilvl w:val="2"/>
          <w:numId w:val="5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Степень соответствия запланированному уровню затрат.</w:t>
      </w:r>
    </w:p>
    <w:p w:rsidR="000C4453" w:rsidRPr="00EA7E43" w:rsidRDefault="000C4453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Данная оценка эффективности обеспечит мониторинг динамики изменений показателей за оцениваемый период с целью уточнения задач и мероприятий Подпрограммы. Оценка эффективности Подпрограммы будет производиться путем сравнения значений целевых индикаторов в 201</w:t>
      </w:r>
      <w:r w:rsidR="00671560" w:rsidRPr="00EA7E43">
        <w:rPr>
          <w:color w:val="000000"/>
          <w:sz w:val="28"/>
        </w:rPr>
        <w:t>4</w:t>
      </w:r>
      <w:r w:rsidRPr="00EA7E43">
        <w:rPr>
          <w:color w:val="000000"/>
          <w:sz w:val="28"/>
        </w:rPr>
        <w:t xml:space="preserve"> году с установле</w:t>
      </w:r>
      <w:r w:rsidR="00671560" w:rsidRPr="00EA7E43">
        <w:rPr>
          <w:color w:val="000000"/>
          <w:sz w:val="28"/>
        </w:rPr>
        <w:t>нными значениями на 2015 г</w:t>
      </w:r>
      <w:r w:rsidR="00B06FD6" w:rsidRPr="00EA7E43">
        <w:rPr>
          <w:color w:val="000000"/>
          <w:sz w:val="28"/>
        </w:rPr>
        <w:t>од.</w:t>
      </w:r>
    </w:p>
    <w:p w:rsidR="000C4453" w:rsidRPr="00EA7E43" w:rsidRDefault="000C4453" w:rsidP="00EA7E43">
      <w:pPr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Анализ оценки эффективности и результативности реализации Подпрограммы осуществляется и основывается на количественной оценке состояния отдельных показателей результативности (индикаторов результативности).</w:t>
      </w:r>
    </w:p>
    <w:p w:rsidR="000C4453" w:rsidRDefault="000C4453" w:rsidP="00803646">
      <w:pPr>
        <w:ind w:firstLine="567"/>
        <w:jc w:val="both"/>
        <w:rPr>
          <w:color w:val="000000"/>
        </w:rPr>
      </w:pPr>
    </w:p>
    <w:p w:rsidR="00EA7E43" w:rsidRPr="00E94F27" w:rsidRDefault="00EA7E43" w:rsidP="00803646">
      <w:pPr>
        <w:ind w:firstLine="567"/>
        <w:jc w:val="both"/>
        <w:rPr>
          <w:color w:val="000000"/>
        </w:rPr>
      </w:pPr>
    </w:p>
    <w:p w:rsidR="00803646" w:rsidRPr="00EA7E43" w:rsidRDefault="00E84ADC" w:rsidP="00EA7E43">
      <w:pPr>
        <w:tabs>
          <w:tab w:val="left" w:pos="1134"/>
        </w:tabs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 xml:space="preserve">Раздел </w:t>
      </w:r>
      <w:r w:rsidR="00F54597" w:rsidRPr="00EA7E43">
        <w:rPr>
          <w:color w:val="000000"/>
          <w:sz w:val="28"/>
          <w:lang w:val="en-US"/>
        </w:rPr>
        <w:t>V</w:t>
      </w:r>
      <w:r w:rsidR="00B06FD6" w:rsidRPr="00EA7E43">
        <w:rPr>
          <w:color w:val="000000"/>
          <w:sz w:val="28"/>
          <w:lang w:val="en-US"/>
        </w:rPr>
        <w:t>I</w:t>
      </w:r>
      <w:r w:rsidR="00F9697F" w:rsidRPr="00EA7E43">
        <w:rPr>
          <w:color w:val="000000"/>
          <w:sz w:val="28"/>
          <w:lang w:val="en-US"/>
        </w:rPr>
        <w:t>I</w:t>
      </w:r>
      <w:r w:rsidRPr="00EA7E43">
        <w:rPr>
          <w:color w:val="000000"/>
          <w:sz w:val="28"/>
        </w:rPr>
        <w:t xml:space="preserve">. </w:t>
      </w:r>
      <w:r w:rsidR="00803646" w:rsidRPr="00EA7E43">
        <w:rPr>
          <w:color w:val="000000"/>
          <w:sz w:val="28"/>
        </w:rPr>
        <w:t xml:space="preserve">Анализ рисков реализации подпрограммы и описание мер </w:t>
      </w:r>
    </w:p>
    <w:p w:rsidR="00D54F98" w:rsidRPr="00EA7E43" w:rsidRDefault="00803646" w:rsidP="00EA7E43">
      <w:pPr>
        <w:tabs>
          <w:tab w:val="left" w:pos="1134"/>
        </w:tabs>
        <w:ind w:firstLine="709"/>
        <w:jc w:val="center"/>
        <w:rPr>
          <w:color w:val="000000"/>
          <w:sz w:val="28"/>
        </w:rPr>
      </w:pPr>
      <w:r w:rsidRPr="00EA7E43">
        <w:rPr>
          <w:color w:val="000000"/>
          <w:sz w:val="28"/>
        </w:rPr>
        <w:t>управления рисками реализации подпрограммы</w:t>
      </w:r>
    </w:p>
    <w:p w:rsidR="00D54F98" w:rsidRPr="00EA7E43" w:rsidRDefault="00D54F98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</w:p>
    <w:p w:rsidR="00B06FD6" w:rsidRPr="00EA7E43" w:rsidRDefault="00B06FD6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proofErr w:type="gramStart"/>
      <w:r w:rsidRPr="00EA7E43">
        <w:rPr>
          <w:color w:val="000000"/>
          <w:sz w:val="28"/>
        </w:rPr>
        <w:t xml:space="preserve">Реализация Подпрограммы направлена на эффективное функционирование улично-дорожной сети и повышение безопасности дорожного движения, обеспечение соответствия условий проживания населения округа стандартам качества, что является планомерным продолжением и развитием целей и задач, поставленных в Стратегии и Комплексной программе социально-экономического развития Златоустовского городского округа до 2030 года, утвержденной Решением Собрания депутатов Златоустовского городского округа от 05.07.2013 года </w:t>
      </w:r>
      <w:r w:rsidR="00EA7E43">
        <w:rPr>
          <w:color w:val="000000"/>
          <w:sz w:val="28"/>
        </w:rPr>
        <w:t xml:space="preserve">                              </w:t>
      </w:r>
      <w:r w:rsidRPr="00EA7E43">
        <w:rPr>
          <w:color w:val="000000"/>
          <w:sz w:val="28"/>
        </w:rPr>
        <w:t>№ 28-ЗГО.</w:t>
      </w:r>
      <w:proofErr w:type="gramEnd"/>
    </w:p>
    <w:p w:rsidR="00D54F98" w:rsidRPr="00EA7E43" w:rsidRDefault="00D54F98" w:rsidP="00EA7E43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EA7E43">
        <w:rPr>
          <w:color w:val="000000"/>
          <w:sz w:val="28"/>
        </w:rPr>
        <w:t>К внешним рискам, оказывающим влияние на достижение запланированных результатов, относятся:</w:t>
      </w:r>
    </w:p>
    <w:p w:rsidR="00D54F98" w:rsidRPr="00EA7E43" w:rsidRDefault="00D54F98" w:rsidP="00EA7E43">
      <w:pPr>
        <w:pStyle w:val="af7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Форс-мажорные ситуации</w:t>
      </w:r>
      <w:r w:rsidR="00803646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D54F98" w:rsidRPr="00EA7E43" w:rsidRDefault="00D54F98" w:rsidP="00EA7E43">
      <w:pPr>
        <w:pStyle w:val="af7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 xml:space="preserve">Ошибки в планировании процесса снабжения и осуществления </w:t>
      </w:r>
      <w:r w:rsid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деятельности, допущенные </w:t>
      </w:r>
      <w:r w:rsidR="00D46F64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организацией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осуществляющ</w:t>
      </w:r>
      <w:r w:rsidR="00D46F64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ей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выполнение работ</w:t>
      </w:r>
      <w:r w:rsidR="00803646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D54F98" w:rsidRPr="00EA7E43" w:rsidRDefault="00D54F98" w:rsidP="00EA7E43">
      <w:pPr>
        <w:pStyle w:val="af7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Ликвидация  или реорганизация </w:t>
      </w:r>
      <w:r w:rsidR="00D46F64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организации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осуществляюще</w:t>
      </w:r>
      <w:r w:rsidR="00D46F64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й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</w:t>
      </w: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выполнение работ</w:t>
      </w:r>
      <w:r w:rsidR="00803646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D54F98" w:rsidRPr="00EA7E43" w:rsidRDefault="00D54F98" w:rsidP="00EA7E43">
      <w:pPr>
        <w:pStyle w:val="af7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Изменения в действующем законодательстве</w:t>
      </w:r>
      <w:r w:rsidR="00803646" w:rsidRPr="00EA7E43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164EDB" w:rsidRPr="00EA7E43" w:rsidRDefault="00D54F98" w:rsidP="00EA7E4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EA7E43">
        <w:rPr>
          <w:color w:val="000000"/>
          <w:sz w:val="28"/>
        </w:rPr>
        <w:t>Внутренним риском исполнения Программы является экономическая сбалансированность проводимых мероприятий с планируемым финансированием из средств</w:t>
      </w:r>
      <w:r w:rsidR="00E84ADC" w:rsidRPr="00EA7E43">
        <w:rPr>
          <w:color w:val="000000"/>
          <w:sz w:val="28"/>
        </w:rPr>
        <w:t xml:space="preserve"> областного и</w:t>
      </w:r>
      <w:r w:rsidRPr="00EA7E43">
        <w:rPr>
          <w:color w:val="000000"/>
          <w:sz w:val="28"/>
        </w:rPr>
        <w:t xml:space="preserve"> местного бюджет</w:t>
      </w:r>
      <w:r w:rsidR="00E84ADC" w:rsidRPr="00EA7E43">
        <w:rPr>
          <w:color w:val="000000"/>
          <w:sz w:val="28"/>
        </w:rPr>
        <w:t>ов</w:t>
      </w:r>
      <w:r w:rsidRPr="00EA7E43">
        <w:rPr>
          <w:color w:val="000000"/>
          <w:sz w:val="28"/>
        </w:rPr>
        <w:t xml:space="preserve">. Дефицит бюджетных средств, отсутствие финансирования приведет к неисполнению запланированных мероприятий или выполнение их не в полном объеме повлечет дальнейшее увеличение физического износа </w:t>
      </w:r>
      <w:r w:rsidR="00D46F64" w:rsidRPr="00EA7E43">
        <w:rPr>
          <w:color w:val="000000"/>
          <w:sz w:val="28"/>
        </w:rPr>
        <w:t>улично-дорожной сети и средств организации безопасности дорожного движения</w:t>
      </w:r>
      <w:r w:rsidRPr="00EA7E43">
        <w:rPr>
          <w:color w:val="000000"/>
          <w:sz w:val="28"/>
        </w:rPr>
        <w:t>, увеличение количества обращений граждан по неудовлет</w:t>
      </w:r>
      <w:r w:rsidR="00D46F64" w:rsidRPr="00EA7E43">
        <w:rPr>
          <w:color w:val="000000"/>
          <w:sz w:val="28"/>
        </w:rPr>
        <w:t>ворительным условиям проживания и получения качественных услуг.</w:t>
      </w:r>
    </w:p>
    <w:sectPr w:rsidR="00164EDB" w:rsidRPr="00EA7E43" w:rsidSect="0015744A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9540E5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D35651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DC44802"/>
    <w:multiLevelType w:val="hybridMultilevel"/>
    <w:tmpl w:val="852A27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0F">
      <w:start w:val="1"/>
      <w:numFmt w:val="decimal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DB3B5D"/>
    <w:multiLevelType w:val="hybridMultilevel"/>
    <w:tmpl w:val="44A25FD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4F4434"/>
    <w:multiLevelType w:val="hybridMultilevel"/>
    <w:tmpl w:val="A8AEB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1">
      <w:start w:val="1"/>
      <w:numFmt w:val="decimal"/>
      <w:lvlText w:val="%3)"/>
      <w:lvlJc w:val="lef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BA358B"/>
    <w:multiLevelType w:val="hybridMultilevel"/>
    <w:tmpl w:val="9A5A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45BB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426FC5"/>
    <w:multiLevelType w:val="hybridMultilevel"/>
    <w:tmpl w:val="281646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74C54AE"/>
    <w:multiLevelType w:val="hybridMultilevel"/>
    <w:tmpl w:val="9A5A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3BBC"/>
    <w:multiLevelType w:val="hybridMultilevel"/>
    <w:tmpl w:val="592C7AF0"/>
    <w:lvl w:ilvl="0" w:tplc="A7D42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E0A88"/>
    <w:multiLevelType w:val="hybridMultilevel"/>
    <w:tmpl w:val="68E234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B93D2D"/>
    <w:multiLevelType w:val="hybridMultilevel"/>
    <w:tmpl w:val="9A5A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C7FC8"/>
    <w:multiLevelType w:val="hybridMultilevel"/>
    <w:tmpl w:val="F60CE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6"/>
  </w:num>
  <w:num w:numId="5">
    <w:abstractNumId w:val="8"/>
  </w:num>
  <w:num w:numId="6">
    <w:abstractNumId w:val="12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10"/>
  </w:num>
  <w:num w:numId="12">
    <w:abstractNumId w:val="7"/>
  </w:num>
  <w:num w:numId="13">
    <w:abstractNumId w:val="14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C53"/>
    <w:rsid w:val="00010BE8"/>
    <w:rsid w:val="00023E64"/>
    <w:rsid w:val="0002402B"/>
    <w:rsid w:val="00024F69"/>
    <w:rsid w:val="00040C71"/>
    <w:rsid w:val="00052284"/>
    <w:rsid w:val="00070625"/>
    <w:rsid w:val="00087A93"/>
    <w:rsid w:val="00096F91"/>
    <w:rsid w:val="000A4859"/>
    <w:rsid w:val="000B4456"/>
    <w:rsid w:val="000C3096"/>
    <w:rsid w:val="000C4453"/>
    <w:rsid w:val="000C5EBC"/>
    <w:rsid w:val="000D3F06"/>
    <w:rsid w:val="000D7FF6"/>
    <w:rsid w:val="00104C90"/>
    <w:rsid w:val="001072AD"/>
    <w:rsid w:val="00113F3C"/>
    <w:rsid w:val="001174E2"/>
    <w:rsid w:val="001258FF"/>
    <w:rsid w:val="0013177B"/>
    <w:rsid w:val="001324BD"/>
    <w:rsid w:val="0015744A"/>
    <w:rsid w:val="0016323E"/>
    <w:rsid w:val="00164EDB"/>
    <w:rsid w:val="00194A09"/>
    <w:rsid w:val="001A2AB0"/>
    <w:rsid w:val="001B78CD"/>
    <w:rsid w:val="001D2E74"/>
    <w:rsid w:val="001D6988"/>
    <w:rsid w:val="001E6862"/>
    <w:rsid w:val="0020780C"/>
    <w:rsid w:val="00224077"/>
    <w:rsid w:val="00224E09"/>
    <w:rsid w:val="00262F55"/>
    <w:rsid w:val="002648E5"/>
    <w:rsid w:val="00270BB0"/>
    <w:rsid w:val="00281FF5"/>
    <w:rsid w:val="002853A6"/>
    <w:rsid w:val="002A2EE0"/>
    <w:rsid w:val="002A6AB1"/>
    <w:rsid w:val="002B1C74"/>
    <w:rsid w:val="002E235E"/>
    <w:rsid w:val="002F4BD0"/>
    <w:rsid w:val="0030518F"/>
    <w:rsid w:val="00305BCD"/>
    <w:rsid w:val="00316968"/>
    <w:rsid w:val="003179AF"/>
    <w:rsid w:val="00327D8A"/>
    <w:rsid w:val="00352F06"/>
    <w:rsid w:val="003556CC"/>
    <w:rsid w:val="0036241C"/>
    <w:rsid w:val="00372C9A"/>
    <w:rsid w:val="003947CE"/>
    <w:rsid w:val="003B5856"/>
    <w:rsid w:val="003B7E29"/>
    <w:rsid w:val="003C232E"/>
    <w:rsid w:val="003D2BDC"/>
    <w:rsid w:val="003F3C2F"/>
    <w:rsid w:val="003F403D"/>
    <w:rsid w:val="003F4335"/>
    <w:rsid w:val="004002C7"/>
    <w:rsid w:val="00403F39"/>
    <w:rsid w:val="00413892"/>
    <w:rsid w:val="00433784"/>
    <w:rsid w:val="004662D8"/>
    <w:rsid w:val="004670B1"/>
    <w:rsid w:val="00473C53"/>
    <w:rsid w:val="0049183D"/>
    <w:rsid w:val="004B60EB"/>
    <w:rsid w:val="004C7F1F"/>
    <w:rsid w:val="004D0831"/>
    <w:rsid w:val="004D54E3"/>
    <w:rsid w:val="004F77A5"/>
    <w:rsid w:val="00507897"/>
    <w:rsid w:val="005337B6"/>
    <w:rsid w:val="00536B4C"/>
    <w:rsid w:val="00536CA4"/>
    <w:rsid w:val="0054519A"/>
    <w:rsid w:val="00577A45"/>
    <w:rsid w:val="00592E21"/>
    <w:rsid w:val="005B032C"/>
    <w:rsid w:val="005C0377"/>
    <w:rsid w:val="005E215E"/>
    <w:rsid w:val="005E359A"/>
    <w:rsid w:val="00601EF3"/>
    <w:rsid w:val="0060763A"/>
    <w:rsid w:val="00610676"/>
    <w:rsid w:val="0063760B"/>
    <w:rsid w:val="00671560"/>
    <w:rsid w:val="00680E55"/>
    <w:rsid w:val="00683A61"/>
    <w:rsid w:val="00687444"/>
    <w:rsid w:val="00687B25"/>
    <w:rsid w:val="006945FE"/>
    <w:rsid w:val="006A5051"/>
    <w:rsid w:val="006B168C"/>
    <w:rsid w:val="006B6518"/>
    <w:rsid w:val="006C63E4"/>
    <w:rsid w:val="006E633D"/>
    <w:rsid w:val="006F5B79"/>
    <w:rsid w:val="0072384F"/>
    <w:rsid w:val="00727A18"/>
    <w:rsid w:val="007575E9"/>
    <w:rsid w:val="00760096"/>
    <w:rsid w:val="00794F19"/>
    <w:rsid w:val="00797FF3"/>
    <w:rsid w:val="007B43FB"/>
    <w:rsid w:val="007D371A"/>
    <w:rsid w:val="007F0E95"/>
    <w:rsid w:val="00803646"/>
    <w:rsid w:val="008106C9"/>
    <w:rsid w:val="008112B5"/>
    <w:rsid w:val="00863997"/>
    <w:rsid w:val="00875615"/>
    <w:rsid w:val="00885F17"/>
    <w:rsid w:val="00894637"/>
    <w:rsid w:val="008D420D"/>
    <w:rsid w:val="008D42F5"/>
    <w:rsid w:val="008D757F"/>
    <w:rsid w:val="008E2118"/>
    <w:rsid w:val="0090715C"/>
    <w:rsid w:val="00915271"/>
    <w:rsid w:val="00924821"/>
    <w:rsid w:val="00925DF7"/>
    <w:rsid w:val="009274FB"/>
    <w:rsid w:val="00931F8D"/>
    <w:rsid w:val="009406DA"/>
    <w:rsid w:val="00945FF1"/>
    <w:rsid w:val="0095427E"/>
    <w:rsid w:val="0095654D"/>
    <w:rsid w:val="00967034"/>
    <w:rsid w:val="00971EA4"/>
    <w:rsid w:val="00983389"/>
    <w:rsid w:val="009A6844"/>
    <w:rsid w:val="009B1B96"/>
    <w:rsid w:val="009B6FDF"/>
    <w:rsid w:val="009C7600"/>
    <w:rsid w:val="009D317C"/>
    <w:rsid w:val="009F5068"/>
    <w:rsid w:val="00A05B1A"/>
    <w:rsid w:val="00A13743"/>
    <w:rsid w:val="00A13CC5"/>
    <w:rsid w:val="00A1710E"/>
    <w:rsid w:val="00A22A99"/>
    <w:rsid w:val="00A276DA"/>
    <w:rsid w:val="00A429AF"/>
    <w:rsid w:val="00A551BB"/>
    <w:rsid w:val="00A600C6"/>
    <w:rsid w:val="00A84060"/>
    <w:rsid w:val="00A84539"/>
    <w:rsid w:val="00AA1719"/>
    <w:rsid w:val="00AA192D"/>
    <w:rsid w:val="00AA4298"/>
    <w:rsid w:val="00AB6153"/>
    <w:rsid w:val="00AE191F"/>
    <w:rsid w:val="00AE5D21"/>
    <w:rsid w:val="00AF0B3A"/>
    <w:rsid w:val="00B06FD6"/>
    <w:rsid w:val="00B1027C"/>
    <w:rsid w:val="00B12009"/>
    <w:rsid w:val="00B264B4"/>
    <w:rsid w:val="00B26D06"/>
    <w:rsid w:val="00B4627F"/>
    <w:rsid w:val="00B61B81"/>
    <w:rsid w:val="00B64480"/>
    <w:rsid w:val="00B74355"/>
    <w:rsid w:val="00B744A2"/>
    <w:rsid w:val="00B8364D"/>
    <w:rsid w:val="00BB71C3"/>
    <w:rsid w:val="00BF337F"/>
    <w:rsid w:val="00BF7E9F"/>
    <w:rsid w:val="00C2601D"/>
    <w:rsid w:val="00C27BA9"/>
    <w:rsid w:val="00C54683"/>
    <w:rsid w:val="00C62311"/>
    <w:rsid w:val="00C86217"/>
    <w:rsid w:val="00C90474"/>
    <w:rsid w:val="00C918C7"/>
    <w:rsid w:val="00CA11C6"/>
    <w:rsid w:val="00CB13CA"/>
    <w:rsid w:val="00CB737F"/>
    <w:rsid w:val="00CC2138"/>
    <w:rsid w:val="00CC56E4"/>
    <w:rsid w:val="00CE2DBE"/>
    <w:rsid w:val="00CE7ABA"/>
    <w:rsid w:val="00D07E75"/>
    <w:rsid w:val="00D14A87"/>
    <w:rsid w:val="00D16AF7"/>
    <w:rsid w:val="00D2047C"/>
    <w:rsid w:val="00D26781"/>
    <w:rsid w:val="00D33975"/>
    <w:rsid w:val="00D3401A"/>
    <w:rsid w:val="00D42B90"/>
    <w:rsid w:val="00D46F64"/>
    <w:rsid w:val="00D54F98"/>
    <w:rsid w:val="00D614FF"/>
    <w:rsid w:val="00D7405F"/>
    <w:rsid w:val="00D91C84"/>
    <w:rsid w:val="00D9433C"/>
    <w:rsid w:val="00DA4A40"/>
    <w:rsid w:val="00DB1A97"/>
    <w:rsid w:val="00DB41F1"/>
    <w:rsid w:val="00DD7C03"/>
    <w:rsid w:val="00DF776B"/>
    <w:rsid w:val="00DF7C77"/>
    <w:rsid w:val="00E17AD0"/>
    <w:rsid w:val="00E22F6C"/>
    <w:rsid w:val="00E27357"/>
    <w:rsid w:val="00E33B12"/>
    <w:rsid w:val="00E74C17"/>
    <w:rsid w:val="00E83EEB"/>
    <w:rsid w:val="00E84ADC"/>
    <w:rsid w:val="00E850AE"/>
    <w:rsid w:val="00E94F27"/>
    <w:rsid w:val="00EA0DD6"/>
    <w:rsid w:val="00EA63A7"/>
    <w:rsid w:val="00EA7E43"/>
    <w:rsid w:val="00EB0244"/>
    <w:rsid w:val="00ED16FA"/>
    <w:rsid w:val="00ED4409"/>
    <w:rsid w:val="00F348F0"/>
    <w:rsid w:val="00F454A1"/>
    <w:rsid w:val="00F54597"/>
    <w:rsid w:val="00F9697F"/>
    <w:rsid w:val="00FA1A7B"/>
    <w:rsid w:val="00FA558F"/>
    <w:rsid w:val="00FA7661"/>
    <w:rsid w:val="00FC6C13"/>
    <w:rsid w:val="00FD0768"/>
    <w:rsid w:val="00FE0656"/>
    <w:rsid w:val="00FE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firstLine="56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0">
    <w:name w:val="WW8Num7z0"/>
    <w:rPr>
      <w:b/>
    </w:rPr>
  </w:style>
  <w:style w:type="character" w:customStyle="1" w:styleId="4">
    <w:name w:val="Основной шрифт абзаца4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30">
    <w:name w:val="Основной шрифт абзаца3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10">
    <w:name w:val="Основной шрифт абзаца1"/>
  </w:style>
  <w:style w:type="character" w:customStyle="1" w:styleId="6">
    <w:name w:val="Заголовок 6 Знак"/>
    <w:rPr>
      <w:rFonts w:ascii="Arial" w:hAnsi="Arial" w:cs="Arial"/>
      <w:sz w:val="24"/>
      <w:lang w:val="ru-RU" w:eastAsia="ar-SA" w:bidi="ar-SA"/>
    </w:rPr>
  </w:style>
  <w:style w:type="character" w:styleId="a3">
    <w:name w:val="page number"/>
    <w:basedOn w:val="10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character" w:customStyle="1" w:styleId="a6">
    <w:name w:val="Знак Знак"/>
    <w:rPr>
      <w:kern w:val="1"/>
      <w:sz w:val="28"/>
    </w:rPr>
  </w:style>
  <w:style w:type="character" w:customStyle="1" w:styleId="a7">
    <w:name w:val="Гипертекстовая ссылка"/>
    <w:rPr>
      <w:b/>
      <w:bCs/>
      <w:color w:val="008000"/>
    </w:rPr>
  </w:style>
  <w:style w:type="character" w:styleId="a8">
    <w:name w:val="Hyperlink"/>
    <w:rPr>
      <w:color w:val="000080"/>
      <w:u w:val="singl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link w:val="ab"/>
    <w:pPr>
      <w:tabs>
        <w:tab w:val="left" w:pos="567"/>
      </w:tabs>
      <w:jc w:val="both"/>
    </w:pPr>
    <w:rPr>
      <w:rFonts w:ascii="Arial" w:hAnsi="Arial"/>
      <w:color w:val="000000"/>
      <w:sz w:val="28"/>
      <w:szCs w:val="20"/>
      <w:lang w:val="x-none"/>
    </w:rPr>
  </w:style>
  <w:style w:type="paragraph" w:styleId="ac">
    <w:name w:val="List"/>
    <w:basedOn w:val="aa"/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ody Text Indent"/>
    <w:basedOn w:val="a"/>
    <w:pPr>
      <w:ind w:firstLine="720"/>
      <w:jc w:val="both"/>
    </w:pPr>
  </w:style>
  <w:style w:type="paragraph" w:customStyle="1" w:styleId="210">
    <w:name w:val="Основной текст 21"/>
    <w:basedOn w:val="a"/>
    <w:pPr>
      <w:widowControl w:val="0"/>
      <w:snapToGrid w:val="0"/>
      <w:jc w:val="center"/>
    </w:pPr>
    <w:rPr>
      <w:rFonts w:ascii="Arial" w:hAnsi="Arial" w:cs="Arial"/>
      <w:b/>
      <w:color w:val="000080"/>
      <w:sz w:val="28"/>
      <w:szCs w:val="20"/>
    </w:rPr>
  </w:style>
  <w:style w:type="paragraph" w:customStyle="1" w:styleId="310">
    <w:name w:val="Основной текст 31"/>
    <w:basedOn w:val="a"/>
    <w:pPr>
      <w:jc w:val="both"/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a"/>
  </w:style>
  <w:style w:type="paragraph" w:customStyle="1" w:styleId="af2">
    <w:name w:val="Таблицы (моноширинный)"/>
    <w:basedOn w:val="a"/>
    <w:next w:val="a"/>
    <w:pPr>
      <w:widowControl w:val="0"/>
      <w:suppressAutoHyphens w:val="0"/>
      <w:autoSpaceDE w:val="0"/>
      <w:jc w:val="both"/>
    </w:pPr>
    <w:rPr>
      <w:rFonts w:ascii="Courier New" w:hAnsi="Courier New" w:cs="Courier New"/>
    </w:rPr>
  </w:style>
  <w:style w:type="paragraph" w:customStyle="1" w:styleId="af3">
    <w:name w:val="Нормальный (таблица)"/>
    <w:basedOn w:val="a"/>
    <w:next w:val="a"/>
    <w:pPr>
      <w:widowControl w:val="0"/>
      <w:suppressAutoHyphens w:val="0"/>
      <w:autoSpaceDE w:val="0"/>
      <w:jc w:val="both"/>
    </w:pPr>
    <w:rPr>
      <w:rFonts w:ascii="Arial" w:hAnsi="Arial" w:cs="Arial"/>
    </w:rPr>
  </w:style>
  <w:style w:type="paragraph" w:customStyle="1" w:styleId="af4">
    <w:name w:val="Стиль"/>
    <w:pPr>
      <w:widowControl w:val="0"/>
      <w:suppressAutoHyphens/>
      <w:ind w:firstLine="720"/>
      <w:jc w:val="both"/>
    </w:pPr>
    <w:rPr>
      <w:rFonts w:ascii="Arial" w:hAnsi="Arial" w:cs="Arial"/>
      <w:lang w:eastAsia="ar-SA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pPr>
      <w:suppressAutoHyphens w:val="0"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snapToGrid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pPr>
      <w:suppressAutoHyphens w:val="0"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9406DA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character" w:customStyle="1" w:styleId="ab">
    <w:name w:val="Основной текст Знак"/>
    <w:link w:val="aa"/>
    <w:rsid w:val="001324BD"/>
    <w:rPr>
      <w:rFonts w:ascii="Arial" w:hAnsi="Arial" w:cs="Arial"/>
      <w:color w:val="000000"/>
      <w:kern w:val="1"/>
      <w:sz w:val="28"/>
      <w:lang w:eastAsia="ar-SA"/>
    </w:rPr>
  </w:style>
  <w:style w:type="paragraph" w:customStyle="1" w:styleId="22">
    <w:name w:val="Основной текст с отступом 22"/>
    <w:basedOn w:val="a"/>
    <w:rsid w:val="009D317C"/>
    <w:pPr>
      <w:suppressAutoHyphens w:val="0"/>
      <w:ind w:firstLine="708"/>
      <w:jc w:val="both"/>
    </w:pPr>
    <w:rPr>
      <w:kern w:val="0"/>
      <w:szCs w:val="20"/>
    </w:rPr>
  </w:style>
  <w:style w:type="paragraph" w:styleId="af7">
    <w:name w:val="List Paragraph"/>
    <w:basedOn w:val="a"/>
    <w:uiPriority w:val="34"/>
    <w:qFormat/>
    <w:rsid w:val="00D54F9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070625"/>
    <w:rPr>
      <w:rFonts w:ascii="Tahoma" w:hAnsi="Tahoma"/>
      <w:sz w:val="16"/>
      <w:szCs w:val="16"/>
      <w:lang w:val="x-none"/>
    </w:rPr>
  </w:style>
  <w:style w:type="character" w:customStyle="1" w:styleId="af9">
    <w:name w:val="Текст выноски Знак"/>
    <w:link w:val="af8"/>
    <w:uiPriority w:val="99"/>
    <w:semiHidden/>
    <w:rsid w:val="00070625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3F421-FCBE-456F-95DE-877F5188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УЖКХиТ</Company>
  <LinksUpToDate>false</LinksUpToDate>
  <CharactersWithSpaces>17452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prot_1</cp:lastModifiedBy>
  <cp:revision>6</cp:revision>
  <cp:lastPrinted>2015-12-25T05:25:00Z</cp:lastPrinted>
  <dcterms:created xsi:type="dcterms:W3CDTF">2015-12-22T03:33:00Z</dcterms:created>
  <dcterms:modified xsi:type="dcterms:W3CDTF">2015-12-25T05:25:00Z</dcterms:modified>
</cp:coreProperties>
</file>